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993"/>
        </w:tabs>
        <w:suppressAutoHyphens/>
        <w:spacing w:before="120" w:after="120" w:line="240" w:lineRule="auto"/>
        <w:ind w:left="567"/>
        <w:jc w:val="right"/>
        <w:rPr>
          <w:rFonts w:ascii="Times New Roman" w:hAnsi="Times New Roman" w:eastAsia="Times New Roman" w:cs="Times New Roman"/>
          <w:sz w:val="24"/>
          <w:szCs w:val="24"/>
          <w:lang w:val="bg-BG"/>
        </w:rPr>
      </w:pPr>
      <w:r>
        <w:rPr>
          <w:rFonts w:ascii="Times New Roman" w:hAnsi="Times New Roman" w:eastAsia="Times New Roman" w:cs="Times New Roman"/>
          <w:sz w:val="24"/>
          <w:szCs w:val="24"/>
          <w:lang w:val="bg-BG"/>
        </w:rPr>
        <w:t>Приложение № 11 към т. 1, буква „к“</w:t>
      </w:r>
    </w:p>
    <w:p>
      <w:pPr>
        <w:pStyle w:val="16"/>
        <w:tabs>
          <w:tab w:val="left" w:pos="993"/>
        </w:tabs>
        <w:spacing w:before="120" w:after="120"/>
        <w:ind w:left="567" w:firstLine="0"/>
        <w:jc w:val="both"/>
        <w:rPr>
          <w:sz w:val="24"/>
          <w:szCs w:val="24"/>
        </w:rPr>
      </w:pPr>
    </w:p>
    <w:p>
      <w:pPr>
        <w:pStyle w:val="16"/>
        <w:tabs>
          <w:tab w:val="left" w:pos="993"/>
        </w:tabs>
        <w:spacing w:before="120" w:after="120" w:line="360" w:lineRule="auto"/>
        <w:ind w:left="567" w:firstLine="0"/>
        <w:jc w:val="center"/>
        <w:rPr>
          <w:b/>
          <w:bCs/>
          <w:sz w:val="24"/>
          <w:szCs w:val="24"/>
          <w:lang w:val="bg-BG"/>
        </w:rPr>
      </w:pPr>
      <w:r>
        <w:rPr>
          <w:b/>
          <w:bCs/>
          <w:sz w:val="24"/>
          <w:szCs w:val="24"/>
          <w:lang w:val="bg-BG"/>
        </w:rPr>
        <w:t xml:space="preserve">НАЦИОНАЛНА ПРОГРАМА </w:t>
      </w:r>
    </w:p>
    <w:p>
      <w:pPr>
        <w:pStyle w:val="16"/>
        <w:tabs>
          <w:tab w:val="left" w:pos="993"/>
        </w:tabs>
        <w:spacing w:before="120" w:after="120" w:line="360" w:lineRule="auto"/>
        <w:ind w:left="567" w:firstLine="0"/>
        <w:jc w:val="center"/>
        <w:rPr>
          <w:b/>
          <w:bCs/>
          <w:color w:val="548235" w:themeColor="accent6" w:themeShade="BF"/>
          <w:sz w:val="24"/>
          <w:szCs w:val="24"/>
          <w:lang w:val="bg-BG"/>
        </w:rPr>
      </w:pPr>
      <w:r>
        <w:rPr>
          <w:b/>
          <w:bCs/>
          <w:sz w:val="24"/>
          <w:szCs w:val="24"/>
          <w:lang w:val="bg-BG"/>
        </w:rPr>
        <w:t>„ПОДПОМАГАНЕ НА ОБЩИНИТЕ ЗА ОБРАЗОВАТЕЛНА ДЕСЕГРЕГАЦИЯ“</w:t>
      </w:r>
      <w:r>
        <w:rPr>
          <w:b/>
          <w:bCs/>
          <w:color w:val="548235" w:themeColor="accent6" w:themeShade="BF"/>
          <w:sz w:val="24"/>
          <w:szCs w:val="24"/>
          <w:lang w:val="bg-BG"/>
        </w:rPr>
        <w:t xml:space="preserve"> </w:t>
      </w:r>
    </w:p>
    <w:p>
      <w:pPr>
        <w:pStyle w:val="16"/>
        <w:tabs>
          <w:tab w:val="left" w:pos="993"/>
        </w:tabs>
        <w:spacing w:before="120" w:after="120"/>
        <w:ind w:left="567" w:firstLine="0"/>
        <w:jc w:val="both"/>
        <w:rPr>
          <w:i/>
          <w:iCs/>
        </w:rPr>
      </w:pPr>
    </w:p>
    <w:p>
      <w:pPr>
        <w:pStyle w:val="17"/>
        <w:numPr>
          <w:ilvl w:val="0"/>
          <w:numId w:val="1"/>
        </w:numPr>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ОПИСАНИЕ НА ПРОГРАМАТА </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Министерството на образованието и науката (МОН) има водеща роля в осигуряването на равен достъп до качествено образование в съответствие с принципите, заложени в Раздел </w:t>
      </w:r>
      <w:r>
        <w:rPr>
          <w:rFonts w:ascii="Times New Roman" w:hAnsi="Times New Roman" w:cs="Times New Roman"/>
          <w:iCs/>
          <w:sz w:val="24"/>
          <w:szCs w:val="24"/>
        </w:rPr>
        <w:t xml:space="preserve">II </w:t>
      </w:r>
      <w:r>
        <w:rPr>
          <w:rFonts w:ascii="Times New Roman" w:hAnsi="Times New Roman" w:cs="Times New Roman"/>
          <w:iCs/>
          <w:sz w:val="24"/>
          <w:szCs w:val="24"/>
          <w:lang w:val="bg-BG"/>
        </w:rPr>
        <w:t>от Закона за предучилищно и училищно образование: „равен достъп до качествено образование и приобщаване на всяко дете и на всеки ученик” и „равнопоставеност и недопускане на дискриминация при провеждане на предучилищното и училищното образование“.</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Правото на образование е гарантирано от държавата и всички, които желаят да упражняват това право, имат осигурени равни условия. Процесите „осигуряване на равен достъп до качествено образование“ и „образователната интеграция на децата и учениците от етническите малцинства“ са тясно свързани и са съпътствани от унаследени във времето негативни фактори и от нови такива, допълнително затрудняващи реализирането и ефективността им. Негативно въздействие оказват: наличието на първично сегрегирани образователни институции; съществуващите негативни нагласи и стереотипи спрямо уязвимите групи и етническите малцинства; консервативните традиции, понижаващи значението и ценността на образованието; ниският образователен статус на родителите. Допълнително утежняващи тези процеси са: повишената зависимост от социално-икономически фактори; демографското развитие на населените места; разширяващия се процес на вторична сегрегация на образователни институции. Въздействието им е с различно измерение, степен и специфика на проявление в различните населени места, което доказва необходимостта от ясни, диференцирани мерки, възпроизведени от местната власт и подкрепени от МОН. В тази връзка ежегодно МОН осигурява целенасочена допълнителна подкрепа за процеса на</w:t>
      </w:r>
      <w:r>
        <w:rPr>
          <w:rFonts w:hint="default" w:ascii="Times New Roman" w:hAnsi="Times New Roman" w:cs="Times New Roman"/>
          <w:iCs/>
          <w:sz w:val="24"/>
          <w:szCs w:val="24"/>
          <w:lang w:val="bg-BG"/>
        </w:rPr>
        <w:t xml:space="preserve"> </w:t>
      </w:r>
      <w:r>
        <w:rPr>
          <w:rFonts w:ascii="Times New Roman" w:hAnsi="Times New Roman" w:cs="Times New Roman"/>
          <w:iCs/>
          <w:sz w:val="24"/>
          <w:szCs w:val="24"/>
          <w:lang w:val="bg-BG"/>
        </w:rPr>
        <w:t>образователна интеграция на деца и ученици от етническите групи с фокус гарантиране на равен достъп до качествено образование.</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Националната програма „Подпомагане на общините за образователна десегрегация“ е един от водещите инструменти на МОН за реализирането на държавната политика в областта на образователната интеграция. Програмата съществува от 2019 г. насам, като през последните 3 години се наблюдава все по-голяма активност и увеличаване на броя кандидатстващи и финансирани общини. През учебната 2021/2022 година са финансирани 9 общини, а през учебната 2022/2023 броя им вече е 12. През настоящата учебна 2023/2024 година също бяха класирани 12 общини, но поради изчерпване на бюджета</w:t>
      </w:r>
      <w:r>
        <w:rPr>
          <w:rFonts w:hint="default" w:ascii="Times New Roman" w:hAnsi="Times New Roman" w:cs="Times New Roman"/>
          <w:iCs/>
          <w:sz w:val="24"/>
          <w:szCs w:val="24"/>
          <w:lang w:val="bg-BG"/>
        </w:rPr>
        <w:t>,</w:t>
      </w:r>
      <w:r>
        <w:rPr>
          <w:rFonts w:ascii="Times New Roman" w:hAnsi="Times New Roman" w:cs="Times New Roman"/>
          <w:iCs/>
          <w:sz w:val="24"/>
          <w:szCs w:val="24"/>
          <w:lang w:val="bg-BG"/>
        </w:rPr>
        <w:t xml:space="preserve"> определен за програмата, бяха сключени 8 договора с общини. В рамките на последните 3 учебни години са финансирани общо 29 проекта на 16 общини, в които са включени над 4000 деца и ученици, на които са осигурени учебни пособия и материали. За 1500 от тези деца и ученици</w:t>
      </w:r>
      <w:r>
        <w:rPr>
          <w:rFonts w:hint="default" w:ascii="Times New Roman" w:hAnsi="Times New Roman" w:cs="Times New Roman"/>
          <w:iCs/>
          <w:sz w:val="24"/>
          <w:szCs w:val="24"/>
          <w:lang w:val="bg-BG"/>
        </w:rPr>
        <w:t xml:space="preserve"> </w:t>
      </w:r>
      <w:r>
        <w:rPr>
          <w:rFonts w:ascii="Times New Roman" w:hAnsi="Times New Roman" w:cs="Times New Roman"/>
          <w:iCs/>
          <w:sz w:val="24"/>
          <w:szCs w:val="24"/>
          <w:lang w:val="bg-BG"/>
        </w:rPr>
        <w:t>е осигурен и безплатен транспорт в рамките на населеното място, а повече от 1200 родители са участвали в различни дейности</w:t>
      </w:r>
      <w:r>
        <w:rPr>
          <w:rFonts w:hint="default" w:ascii="Times New Roman" w:hAnsi="Times New Roman" w:cs="Times New Roman"/>
          <w:iCs/>
          <w:sz w:val="24"/>
          <w:szCs w:val="24"/>
          <w:lang w:val="bg-BG"/>
        </w:rPr>
        <w:t>,</w:t>
      </w:r>
      <w:r>
        <w:rPr>
          <w:rFonts w:ascii="Times New Roman" w:hAnsi="Times New Roman" w:cs="Times New Roman"/>
          <w:iCs/>
          <w:sz w:val="24"/>
          <w:szCs w:val="24"/>
          <w:lang w:val="bg-BG"/>
        </w:rPr>
        <w:t xml:space="preserve"> планирани по съответните проекти.</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Националната програма е разработена в съответствие с Приоритетна област 5. „Ефективно включване, трайно приобщаване и образователна интеграция“ на Стратегическата рамка за развитие на образованието, обучението и ученето в Република България (2021 – 2030), както и в изпълнение на Стратегическите цели на Програмата за дейността на Центъра за образователна интеграция на децата и учениците от етническите малцинства (ЦОИДУЕМ) 2022 – 2024 г. и представлява </w:t>
      </w:r>
      <w:r>
        <w:rPr>
          <w:rFonts w:ascii="Times New Roman" w:hAnsi="Times New Roman"/>
          <w:sz w:val="24"/>
          <w:szCs w:val="24"/>
          <w:lang w:val="bg-BG"/>
        </w:rPr>
        <w:t>модел за подпомагане на общините за осигуряване на равен достъп до качествено образование за всички деца и ученици, обучаващи се в сегрегирани образователни институции, включително и за прилагане на интегрирана подкрепа(социална и образователна), насочена към насърчаване и реализиране на процеса на образователна десегрегация и превенция за недопускане на вторична сегрегация.</w:t>
      </w:r>
    </w:p>
    <w:p>
      <w:pPr>
        <w:spacing w:after="0" w:line="360" w:lineRule="auto"/>
        <w:jc w:val="both"/>
        <w:rPr>
          <w:rFonts w:ascii="Times New Roman" w:hAnsi="Times New Roman" w:cs="Times New Roman"/>
          <w:sz w:val="24"/>
          <w:szCs w:val="24"/>
          <w:lang w:val="bg-BG"/>
        </w:rPr>
      </w:pPr>
    </w:p>
    <w:p>
      <w:pPr>
        <w:pStyle w:val="17"/>
        <w:numPr>
          <w:ilvl w:val="0"/>
          <w:numId w:val="1"/>
        </w:numPr>
        <w:rPr>
          <w:rFonts w:ascii="Times New Roman" w:hAnsi="Times New Roman" w:cs="Times New Roman"/>
          <w:b/>
          <w:bCs/>
          <w:sz w:val="24"/>
          <w:szCs w:val="24"/>
          <w:lang w:val="bg-BG"/>
        </w:rPr>
      </w:pPr>
      <w:r>
        <w:rPr>
          <w:rFonts w:ascii="Times New Roman" w:hAnsi="Times New Roman" w:cs="Times New Roman"/>
          <w:b/>
          <w:bCs/>
          <w:sz w:val="24"/>
          <w:szCs w:val="24"/>
          <w:lang w:val="bg-BG"/>
        </w:rPr>
        <w:t>ЦЕЛИ И ОБХВАТ НА ПРОГРАМАТА</w:t>
      </w:r>
    </w:p>
    <w:p>
      <w:pPr>
        <w:spacing w:after="0" w:line="360" w:lineRule="auto"/>
        <w:jc w:val="both"/>
        <w:rPr>
          <w:rFonts w:ascii="Times New Roman" w:hAnsi="Times New Roman" w:cs="Times New Roman"/>
          <w:iCs/>
          <w:sz w:val="24"/>
          <w:szCs w:val="24"/>
          <w:lang w:val="bg-BG"/>
        </w:rPr>
      </w:pPr>
      <w:r>
        <w:rPr>
          <w:rFonts w:ascii="Times New Roman" w:hAnsi="Times New Roman" w:cs="Times New Roman"/>
          <w:b/>
          <w:iCs/>
          <w:sz w:val="24"/>
          <w:szCs w:val="24"/>
          <w:lang w:val="bg-BG"/>
        </w:rPr>
        <w:t>2.1. Цели на програмата:</w:t>
      </w:r>
    </w:p>
    <w:p>
      <w:pPr>
        <w:spacing w:after="0" w:line="360" w:lineRule="auto"/>
        <w:ind w:left="720"/>
        <w:jc w:val="both"/>
        <w:rPr>
          <w:rFonts w:ascii="Times New Roman" w:hAnsi="Times New Roman" w:cs="Times New Roman"/>
          <w:iCs/>
          <w:sz w:val="24"/>
          <w:szCs w:val="24"/>
          <w:lang w:val="bg-BG"/>
        </w:rPr>
      </w:pPr>
      <w:r>
        <w:rPr>
          <w:rFonts w:ascii="Times New Roman" w:hAnsi="Times New Roman" w:cs="Times New Roman"/>
          <w:b/>
          <w:iCs/>
          <w:sz w:val="24"/>
          <w:szCs w:val="24"/>
          <w:lang w:val="bg-BG"/>
        </w:rPr>
        <w:t>2.1.1. Обща цел:</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Осигуряване от общините на равен достъп до качествено образование и образователна интеграция в задължителното предучилищно и училищно образование за деца и ученици.</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b/>
          <w:iCs/>
          <w:sz w:val="24"/>
          <w:szCs w:val="24"/>
          <w:lang w:val="bg-BG"/>
        </w:rPr>
        <w:t>2.1.2. Специфични цели:</w:t>
      </w:r>
    </w:p>
    <w:p>
      <w:pPr>
        <w:pStyle w:val="17"/>
        <w:numPr>
          <w:ilvl w:val="0"/>
          <w:numId w:val="2"/>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Образователна интеграция на деца и ученици от уязвими групи, включително роми, чрез реализиране на дейности от общините за образователна десегрегация и превенция за недопускане на вторичната сегрегация;</w:t>
      </w:r>
    </w:p>
    <w:p>
      <w:pPr>
        <w:pStyle w:val="17"/>
        <w:numPr>
          <w:ilvl w:val="0"/>
          <w:numId w:val="2"/>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Осигуряване на подкрепяща образователна среда, насърчаваща позитивното общуване и взаимодействие между децата, учениците, родителите, педагогическите специалисти и непедагогическия персонал в условията на несегрегирани, приемни образователни институции</w:t>
      </w:r>
      <w:r>
        <w:rPr>
          <w:rStyle w:val="9"/>
          <w:rFonts w:ascii="Times New Roman" w:hAnsi="Times New Roman" w:cs="Times New Roman"/>
          <w:iCs/>
          <w:sz w:val="24"/>
          <w:szCs w:val="24"/>
          <w:lang w:val="bg-BG"/>
        </w:rPr>
        <w:footnoteReference w:id="0"/>
      </w:r>
      <w:r>
        <w:rPr>
          <w:rFonts w:ascii="Times New Roman" w:hAnsi="Times New Roman" w:cs="Times New Roman"/>
          <w:iCs/>
          <w:sz w:val="24"/>
          <w:szCs w:val="24"/>
          <w:lang w:val="bg-BG"/>
        </w:rPr>
        <w:t>.</w:t>
      </w:r>
    </w:p>
    <w:p>
      <w:pPr>
        <w:spacing w:after="0" w:line="360" w:lineRule="auto"/>
        <w:jc w:val="both"/>
        <w:rPr>
          <w:rFonts w:ascii="Times New Roman" w:hAnsi="Times New Roman" w:cs="Times New Roman"/>
          <w:iCs/>
          <w:sz w:val="24"/>
          <w:szCs w:val="24"/>
          <w:lang w:val="bg-BG"/>
        </w:rPr>
      </w:pPr>
    </w:p>
    <w:p>
      <w:pPr>
        <w:spacing w:after="0" w:line="360" w:lineRule="auto"/>
        <w:jc w:val="both"/>
        <w:rPr>
          <w:rFonts w:ascii="Times New Roman" w:hAnsi="Times New Roman" w:cs="Times New Roman"/>
          <w:b/>
          <w:iCs/>
          <w:sz w:val="24"/>
          <w:szCs w:val="24"/>
          <w:lang w:val="bg-BG"/>
        </w:rPr>
      </w:pPr>
      <w:r>
        <w:rPr>
          <w:rFonts w:ascii="Times New Roman" w:hAnsi="Times New Roman" w:cs="Times New Roman"/>
          <w:b/>
          <w:iCs/>
          <w:sz w:val="24"/>
          <w:szCs w:val="24"/>
          <w:lang w:val="bg-BG"/>
        </w:rPr>
        <w:t>2.2. Териториален обхват:</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Програмата се изпълнява на територията на цялата страна.</w:t>
      </w:r>
    </w:p>
    <w:p>
      <w:pPr>
        <w:spacing w:after="0" w:line="360" w:lineRule="auto"/>
        <w:jc w:val="both"/>
        <w:rPr>
          <w:rFonts w:ascii="Times New Roman" w:hAnsi="Times New Roman" w:cs="Times New Roman"/>
          <w:i/>
          <w:iCs/>
          <w:color w:val="2E75B6" w:themeColor="accent5" w:themeShade="BF"/>
          <w:sz w:val="24"/>
          <w:szCs w:val="24"/>
          <w:lang w:val="bg-BG"/>
        </w:rPr>
      </w:pPr>
    </w:p>
    <w:p>
      <w:pPr>
        <w:pStyle w:val="17"/>
        <w:numPr>
          <w:ilvl w:val="0"/>
          <w:numId w:val="1"/>
        </w:num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ПОКАЗАТЕЛИ ЗА ПОСТИГАНЕ НА ЦЕЛИТЕ</w:t>
      </w:r>
    </w:p>
    <w:p>
      <w:pPr>
        <w:pStyle w:val="17"/>
        <w:spacing w:after="0" w:line="360" w:lineRule="auto"/>
        <w:ind w:left="0"/>
        <w:jc w:val="both"/>
        <w:rPr>
          <w:rFonts w:ascii="Times New Roman" w:hAnsi="Times New Roman" w:cs="Times New Roman"/>
          <w:b/>
          <w:iCs/>
          <w:sz w:val="24"/>
          <w:szCs w:val="24"/>
          <w:lang w:val="bg-BG"/>
        </w:rPr>
      </w:pPr>
      <w:r>
        <w:rPr>
          <w:rFonts w:ascii="Times New Roman" w:hAnsi="Times New Roman" w:cs="Times New Roman"/>
          <w:b/>
          <w:iCs/>
          <w:sz w:val="24"/>
          <w:szCs w:val="24"/>
          <w:lang w:val="bg-BG"/>
        </w:rPr>
        <w:t>3.1. Мерки:</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
        <w:gridCol w:w="6200"/>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shd w:val="clear" w:color="auto" w:fill="D8D8D8" w:themeFill="background1" w:themeFillShade="D9"/>
          </w:tcPr>
          <w:p>
            <w:pPr>
              <w:pStyle w:val="17"/>
              <w:spacing w:after="0" w:line="360" w:lineRule="auto"/>
              <w:ind w:left="0"/>
              <w:jc w:val="both"/>
              <w:rPr>
                <w:rFonts w:ascii="Times New Roman" w:hAnsi="Times New Roman" w:cs="Times New Roman"/>
                <w:b/>
                <w:iCs/>
                <w:sz w:val="24"/>
                <w:szCs w:val="24"/>
                <w:lang w:val="bg-BG"/>
              </w:rPr>
            </w:pPr>
            <w:r>
              <w:rPr>
                <w:rFonts w:ascii="Times New Roman" w:hAnsi="Times New Roman" w:cs="Times New Roman"/>
                <w:b/>
                <w:iCs/>
                <w:sz w:val="24"/>
                <w:szCs w:val="24"/>
                <w:lang w:val="bg-BG"/>
              </w:rPr>
              <w:t>№</w:t>
            </w:r>
          </w:p>
        </w:tc>
        <w:tc>
          <w:tcPr>
            <w:tcW w:w="6200" w:type="dxa"/>
            <w:shd w:val="clear" w:color="auto" w:fill="D8D8D8" w:themeFill="background1" w:themeFillShade="D9"/>
          </w:tcPr>
          <w:p>
            <w:pPr>
              <w:pStyle w:val="17"/>
              <w:spacing w:after="0" w:line="360" w:lineRule="auto"/>
              <w:ind w:left="0"/>
              <w:jc w:val="center"/>
              <w:rPr>
                <w:rFonts w:ascii="Times New Roman" w:hAnsi="Times New Roman" w:cs="Times New Roman"/>
                <w:b/>
                <w:iCs/>
                <w:sz w:val="24"/>
                <w:szCs w:val="24"/>
                <w:lang w:val="bg-BG"/>
              </w:rPr>
            </w:pPr>
            <w:r>
              <w:rPr>
                <w:rFonts w:ascii="Times New Roman" w:hAnsi="Times New Roman" w:cs="Times New Roman"/>
                <w:b/>
                <w:iCs/>
                <w:sz w:val="24"/>
                <w:szCs w:val="24"/>
                <w:lang w:val="bg-BG"/>
              </w:rPr>
              <w:t>Мярка</w:t>
            </w:r>
          </w:p>
        </w:tc>
        <w:tc>
          <w:tcPr>
            <w:tcW w:w="2738" w:type="dxa"/>
            <w:shd w:val="clear" w:color="auto" w:fill="D8D8D8" w:themeFill="background1" w:themeFillShade="D9"/>
          </w:tcPr>
          <w:p>
            <w:pPr>
              <w:pStyle w:val="17"/>
              <w:spacing w:after="0" w:line="360" w:lineRule="auto"/>
              <w:ind w:left="0"/>
              <w:jc w:val="center"/>
              <w:rPr>
                <w:rFonts w:ascii="Times New Roman" w:hAnsi="Times New Roman" w:cs="Times New Roman"/>
                <w:b/>
                <w:iCs/>
                <w:sz w:val="24"/>
                <w:szCs w:val="24"/>
                <w:lang w:val="bg-BG"/>
              </w:rPr>
            </w:pPr>
            <w:r>
              <w:rPr>
                <w:rFonts w:ascii="Times New Roman" w:hAnsi="Times New Roman" w:cs="Times New Roman"/>
                <w:b/>
                <w:iCs/>
                <w:sz w:val="24"/>
                <w:szCs w:val="24"/>
                <w:lang w:val="bg-BG"/>
              </w:rPr>
              <w:t>Срок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1.</w:t>
            </w:r>
          </w:p>
        </w:tc>
        <w:tc>
          <w:tcPr>
            <w:tcW w:w="6200" w:type="dxa"/>
          </w:tcPr>
          <w:p>
            <w:pPr>
              <w:pStyle w:val="17"/>
              <w:spacing w:after="0" w:line="360" w:lineRule="auto"/>
              <w:ind w:left="0"/>
              <w:jc w:val="both"/>
              <w:rPr>
                <w:rFonts w:hint="default" w:ascii="Times New Roman" w:hAnsi="Times New Roman" w:cs="Times New Roman"/>
                <w:b/>
                <w:iCs/>
                <w:sz w:val="24"/>
                <w:szCs w:val="24"/>
                <w:lang w:val="bg-BG"/>
              </w:rPr>
            </w:pPr>
            <w:r>
              <w:rPr>
                <w:rFonts w:ascii="Times New Roman" w:hAnsi="Times New Roman" w:cs="Times New Roman"/>
                <w:iCs/>
                <w:sz w:val="24"/>
                <w:szCs w:val="24"/>
                <w:lang w:val="bg-BG"/>
              </w:rPr>
              <w:t>Обхващане, включване и задържане в образователната система на деца и ученици от уязвими групи чрез осигуряване на достъпна и подкрепяща образователна среда</w:t>
            </w:r>
            <w:r>
              <w:rPr>
                <w:rFonts w:hint="default" w:ascii="Times New Roman" w:hAnsi="Times New Roman" w:cs="Times New Roman"/>
                <w:iCs/>
                <w:sz w:val="24"/>
                <w:szCs w:val="24"/>
                <w:lang w:val="bg-BG"/>
              </w:rPr>
              <w:t>.</w:t>
            </w:r>
          </w:p>
        </w:tc>
        <w:tc>
          <w:tcPr>
            <w:tcW w:w="2738" w:type="dxa"/>
          </w:tcPr>
          <w:p>
            <w:pPr>
              <w:pStyle w:val="17"/>
              <w:spacing w:after="0" w:line="360" w:lineRule="auto"/>
              <w:ind w:left="0"/>
              <w:jc w:val="both"/>
              <w:rPr>
                <w:rFonts w:ascii="Times New Roman" w:hAnsi="Times New Roman" w:cs="Times New Roman"/>
                <w:b/>
                <w:iCs/>
                <w:sz w:val="24"/>
                <w:szCs w:val="24"/>
                <w:lang w:val="bg-BG"/>
              </w:rPr>
            </w:pPr>
            <w:r>
              <w:rPr>
                <w:rFonts w:ascii="Times New Roman" w:hAnsi="Times New Roman" w:cs="Times New Roman"/>
                <w:bCs/>
                <w:iCs/>
                <w:sz w:val="24"/>
                <w:szCs w:val="24"/>
                <w:lang w:val="bg-BG"/>
              </w:rPr>
              <w:t>до края на втория учебен срок на учебната 2024/2025 година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2.</w:t>
            </w:r>
          </w:p>
        </w:tc>
        <w:tc>
          <w:tcPr>
            <w:tcW w:w="6200" w:type="dxa"/>
          </w:tcPr>
          <w:p>
            <w:pPr>
              <w:pStyle w:val="17"/>
              <w:spacing w:after="0" w:line="360" w:lineRule="auto"/>
              <w:ind w:left="0"/>
              <w:jc w:val="both"/>
              <w:rPr>
                <w:rFonts w:hint="default" w:ascii="Times New Roman" w:hAnsi="Times New Roman" w:cs="Times New Roman"/>
                <w:b/>
                <w:iCs/>
                <w:sz w:val="24"/>
                <w:szCs w:val="24"/>
                <w:lang w:val="bg-BG"/>
              </w:rPr>
            </w:pPr>
            <w:r>
              <w:rPr>
                <w:rFonts w:ascii="Times New Roman" w:hAnsi="Times New Roman" w:cs="Times New Roman"/>
                <w:iCs/>
                <w:sz w:val="24"/>
                <w:szCs w:val="24"/>
                <w:lang w:val="bg-BG"/>
              </w:rPr>
              <w:t>Социална и образователна подкрепа за деца и ученици от уязвими групи за редовно посещаване и адаптация в условията на приемни образователни институции</w:t>
            </w:r>
            <w:r>
              <w:rPr>
                <w:rFonts w:hint="default" w:ascii="Times New Roman" w:hAnsi="Times New Roman" w:cs="Times New Roman"/>
                <w:iCs/>
                <w:sz w:val="24"/>
                <w:szCs w:val="24"/>
                <w:lang w:val="bg-BG"/>
              </w:rPr>
              <w:t>.</w:t>
            </w:r>
          </w:p>
        </w:tc>
        <w:tc>
          <w:tcPr>
            <w:tcW w:w="2738" w:type="dxa"/>
          </w:tcPr>
          <w:p>
            <w:pPr>
              <w:pStyle w:val="17"/>
              <w:spacing w:after="0" w:line="360" w:lineRule="auto"/>
              <w:ind w:left="0"/>
              <w:jc w:val="both"/>
              <w:rPr>
                <w:rFonts w:ascii="Times New Roman" w:hAnsi="Times New Roman" w:cs="Times New Roman"/>
                <w:b/>
                <w:iCs/>
                <w:sz w:val="24"/>
                <w:szCs w:val="24"/>
                <w:lang w:val="bg-BG"/>
              </w:rPr>
            </w:pPr>
            <w:r>
              <w:rPr>
                <w:rFonts w:ascii="Times New Roman" w:hAnsi="Times New Roman" w:cs="Times New Roman"/>
                <w:bCs/>
                <w:iCs/>
                <w:sz w:val="24"/>
                <w:szCs w:val="24"/>
                <w:lang w:val="bg-BG"/>
              </w:rPr>
              <w:t>до края на втория учебен срок на учебната 2024/2025 година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3.</w:t>
            </w:r>
          </w:p>
        </w:tc>
        <w:tc>
          <w:tcPr>
            <w:tcW w:w="6200" w:type="dxa"/>
          </w:tcPr>
          <w:p>
            <w:pPr>
              <w:pStyle w:val="17"/>
              <w:spacing w:after="0" w:line="360" w:lineRule="auto"/>
              <w:ind w:left="0"/>
              <w:jc w:val="both"/>
              <w:rPr>
                <w:rFonts w:hint="default" w:ascii="Times New Roman" w:hAnsi="Times New Roman" w:cs="Times New Roman"/>
                <w:b/>
                <w:iCs/>
                <w:sz w:val="24"/>
                <w:szCs w:val="24"/>
                <w:lang w:val="bg-BG"/>
              </w:rPr>
            </w:pPr>
            <w:r>
              <w:rPr>
                <w:rFonts w:ascii="Times New Roman" w:hAnsi="Times New Roman" w:cs="Times New Roman"/>
                <w:iCs/>
                <w:sz w:val="24"/>
                <w:szCs w:val="24"/>
                <w:lang w:val="bg-BG"/>
              </w:rPr>
              <w:t>Взаимодействие на всички участници в образователния процес в етнически смесена среда</w:t>
            </w:r>
            <w:r>
              <w:rPr>
                <w:rFonts w:hint="default" w:ascii="Times New Roman" w:hAnsi="Times New Roman" w:cs="Times New Roman"/>
                <w:iCs/>
                <w:sz w:val="24"/>
                <w:szCs w:val="24"/>
                <w:lang w:val="bg-BG"/>
              </w:rPr>
              <w:t>.</w:t>
            </w:r>
          </w:p>
        </w:tc>
        <w:tc>
          <w:tcPr>
            <w:tcW w:w="2738" w:type="dxa"/>
          </w:tcPr>
          <w:p>
            <w:pPr>
              <w:pStyle w:val="17"/>
              <w:spacing w:after="0" w:line="360" w:lineRule="auto"/>
              <w:ind w:left="0"/>
              <w:jc w:val="both"/>
              <w:rPr>
                <w:rFonts w:ascii="Times New Roman" w:hAnsi="Times New Roman" w:cs="Times New Roman"/>
                <w:b/>
                <w:iCs/>
                <w:sz w:val="24"/>
                <w:szCs w:val="24"/>
                <w:lang w:val="bg-BG"/>
              </w:rPr>
            </w:pPr>
            <w:r>
              <w:rPr>
                <w:rFonts w:ascii="Times New Roman" w:hAnsi="Times New Roman" w:cs="Times New Roman"/>
                <w:bCs/>
                <w:iCs/>
                <w:sz w:val="24"/>
                <w:szCs w:val="24"/>
                <w:lang w:val="bg-BG"/>
              </w:rPr>
              <w:t>до края на втория учебен срок на учебната 2024/2025 година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4.</w:t>
            </w:r>
          </w:p>
        </w:tc>
        <w:tc>
          <w:tcPr>
            <w:tcW w:w="6200" w:type="dxa"/>
          </w:tcPr>
          <w:p>
            <w:pPr>
              <w:pStyle w:val="17"/>
              <w:spacing w:after="0" w:line="360" w:lineRule="auto"/>
              <w:ind w:left="0"/>
              <w:jc w:val="both"/>
              <w:rPr>
                <w:rFonts w:hint="default" w:ascii="Times New Roman" w:hAnsi="Times New Roman" w:cs="Times New Roman"/>
                <w:b/>
                <w:iCs/>
                <w:sz w:val="24"/>
                <w:szCs w:val="24"/>
                <w:lang w:val="bg-BG"/>
              </w:rPr>
            </w:pPr>
            <w:r>
              <w:rPr>
                <w:rFonts w:ascii="Times New Roman" w:hAnsi="Times New Roman" w:cs="Times New Roman"/>
                <w:iCs/>
                <w:sz w:val="24"/>
                <w:szCs w:val="24"/>
                <w:lang w:val="bg-BG"/>
              </w:rPr>
              <w:t>Оказване на социално-комуникативна подкрепа за децата, учениците и родителите, участващи в процеса по образователна десегрегация и превенция за недопускане на вторичната сегрегация</w:t>
            </w:r>
            <w:r>
              <w:rPr>
                <w:rFonts w:hint="default" w:ascii="Times New Roman" w:hAnsi="Times New Roman" w:cs="Times New Roman"/>
                <w:iCs/>
                <w:sz w:val="24"/>
                <w:szCs w:val="24"/>
                <w:lang w:val="bg-BG"/>
              </w:rPr>
              <w:t>.</w:t>
            </w:r>
          </w:p>
        </w:tc>
        <w:tc>
          <w:tcPr>
            <w:tcW w:w="2738" w:type="dxa"/>
          </w:tcPr>
          <w:p>
            <w:pPr>
              <w:pStyle w:val="17"/>
              <w:spacing w:after="0" w:line="360" w:lineRule="auto"/>
              <w:ind w:left="0"/>
              <w:jc w:val="both"/>
              <w:rPr>
                <w:rFonts w:ascii="Times New Roman" w:hAnsi="Times New Roman" w:cs="Times New Roman"/>
                <w:b/>
                <w:iCs/>
                <w:sz w:val="24"/>
                <w:szCs w:val="24"/>
                <w:lang w:val="bg-BG"/>
              </w:rPr>
            </w:pPr>
            <w:r>
              <w:rPr>
                <w:rFonts w:ascii="Times New Roman" w:hAnsi="Times New Roman" w:cs="Times New Roman"/>
                <w:bCs/>
                <w:iCs/>
                <w:sz w:val="24"/>
                <w:szCs w:val="24"/>
                <w:lang w:val="bg-BG"/>
              </w:rPr>
              <w:t>до края на втория учебен срок на учебната 2024/2025 година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5.</w:t>
            </w:r>
          </w:p>
        </w:tc>
        <w:tc>
          <w:tcPr>
            <w:tcW w:w="6200" w:type="dxa"/>
          </w:tcPr>
          <w:p>
            <w:pPr>
              <w:pStyle w:val="17"/>
              <w:spacing w:after="0" w:line="360" w:lineRule="auto"/>
              <w:ind w:left="0"/>
              <w:jc w:val="both"/>
              <w:rPr>
                <w:rFonts w:hint="default" w:ascii="Times New Roman" w:hAnsi="Times New Roman" w:cs="Times New Roman"/>
                <w:b/>
                <w:iCs/>
                <w:sz w:val="24"/>
                <w:szCs w:val="24"/>
                <w:lang w:val="bg-BG"/>
              </w:rPr>
            </w:pPr>
            <w:r>
              <w:rPr>
                <w:rFonts w:ascii="Times New Roman" w:hAnsi="Times New Roman" w:cs="Times New Roman"/>
                <w:iCs/>
                <w:sz w:val="24"/>
                <w:szCs w:val="24"/>
                <w:lang w:val="bg-BG"/>
              </w:rPr>
              <w:t>Засилване ролята на непедагогическия персонал (образователни медиатори, помощници на учителя, социални работници в образованието) във взаимодействието на образователните институции с децата, учениците и родителите</w:t>
            </w:r>
            <w:r>
              <w:rPr>
                <w:rFonts w:hint="default" w:ascii="Times New Roman" w:hAnsi="Times New Roman" w:cs="Times New Roman"/>
                <w:iCs/>
                <w:sz w:val="24"/>
                <w:szCs w:val="24"/>
                <w:lang w:val="bg-BG"/>
              </w:rPr>
              <w:t>.</w:t>
            </w:r>
          </w:p>
        </w:tc>
        <w:tc>
          <w:tcPr>
            <w:tcW w:w="2738" w:type="dxa"/>
          </w:tcPr>
          <w:p>
            <w:pPr>
              <w:pStyle w:val="17"/>
              <w:spacing w:after="0" w:line="360" w:lineRule="auto"/>
              <w:ind w:left="0"/>
              <w:jc w:val="both"/>
              <w:rPr>
                <w:rFonts w:ascii="Times New Roman" w:hAnsi="Times New Roman" w:cs="Times New Roman"/>
                <w:b/>
                <w:iCs/>
                <w:sz w:val="24"/>
                <w:szCs w:val="24"/>
                <w:lang w:val="bg-BG"/>
              </w:rPr>
            </w:pPr>
            <w:r>
              <w:rPr>
                <w:rFonts w:ascii="Times New Roman" w:hAnsi="Times New Roman" w:cs="Times New Roman"/>
                <w:bCs/>
                <w:iCs/>
                <w:sz w:val="24"/>
                <w:szCs w:val="24"/>
                <w:lang w:val="bg-BG"/>
              </w:rPr>
              <w:t>до края на втория учебен срок на учебната 2024/2025 година</w:t>
            </w:r>
          </w:p>
        </w:tc>
      </w:tr>
    </w:tbl>
    <w:p>
      <w:pPr>
        <w:pStyle w:val="17"/>
        <w:spacing w:after="0" w:line="360" w:lineRule="auto"/>
        <w:ind w:left="0"/>
        <w:jc w:val="both"/>
        <w:rPr>
          <w:rFonts w:ascii="Times New Roman" w:hAnsi="Times New Roman" w:cs="Times New Roman"/>
          <w:b/>
          <w:iCs/>
          <w:sz w:val="24"/>
          <w:szCs w:val="24"/>
          <w:lang w:val="bg-BG"/>
        </w:rPr>
      </w:pPr>
    </w:p>
    <w:p>
      <w:pPr>
        <w:pStyle w:val="17"/>
        <w:spacing w:after="0" w:line="360" w:lineRule="auto"/>
        <w:ind w:left="0"/>
        <w:rPr>
          <w:rFonts w:ascii="Times New Roman" w:hAnsi="Times New Roman" w:cs="Times New Roman"/>
          <w:b/>
          <w:iCs/>
          <w:sz w:val="24"/>
          <w:szCs w:val="24"/>
          <w:lang w:val="bg-BG"/>
        </w:rPr>
      </w:pPr>
    </w:p>
    <w:p>
      <w:pPr>
        <w:pStyle w:val="17"/>
        <w:spacing w:after="0" w:line="360" w:lineRule="auto"/>
        <w:ind w:left="0"/>
        <w:rPr>
          <w:rFonts w:ascii="Times New Roman" w:hAnsi="Times New Roman" w:cs="Times New Roman"/>
          <w:b/>
          <w:iCs/>
          <w:sz w:val="24"/>
          <w:szCs w:val="24"/>
          <w:lang w:val="bg-BG"/>
        </w:rPr>
      </w:pPr>
      <w:r>
        <w:rPr>
          <w:rFonts w:ascii="Times New Roman" w:hAnsi="Times New Roman" w:cs="Times New Roman"/>
          <w:b/>
          <w:iCs/>
          <w:sz w:val="24"/>
          <w:szCs w:val="24"/>
          <w:lang w:val="bg-BG"/>
        </w:rPr>
        <w:t>3.2. Показатели за изпълнение:</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4526"/>
        <w:gridCol w:w="2127"/>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shd w:val="clear" w:color="auto" w:fill="D8D8D8" w:themeFill="background1" w:themeFillShade="D9"/>
          </w:tcPr>
          <w:p>
            <w:pPr>
              <w:pStyle w:val="17"/>
              <w:spacing w:after="0" w:line="360" w:lineRule="auto"/>
              <w:ind w:left="0"/>
              <w:jc w:val="both"/>
              <w:rPr>
                <w:rFonts w:ascii="Times New Roman" w:hAnsi="Times New Roman" w:cs="Times New Roman"/>
                <w:b/>
                <w:iCs/>
                <w:sz w:val="24"/>
                <w:szCs w:val="24"/>
                <w:lang w:val="bg-BG"/>
              </w:rPr>
            </w:pPr>
            <w:r>
              <w:rPr>
                <w:rFonts w:ascii="Times New Roman" w:hAnsi="Times New Roman" w:cs="Times New Roman"/>
                <w:b/>
                <w:iCs/>
                <w:sz w:val="24"/>
                <w:szCs w:val="24"/>
                <w:lang w:val="bg-BG"/>
              </w:rPr>
              <w:t>№</w:t>
            </w:r>
          </w:p>
        </w:tc>
        <w:tc>
          <w:tcPr>
            <w:tcW w:w="4526" w:type="dxa"/>
            <w:shd w:val="clear" w:color="auto" w:fill="D8D8D8" w:themeFill="background1" w:themeFillShade="D9"/>
          </w:tcPr>
          <w:p>
            <w:pPr>
              <w:pStyle w:val="17"/>
              <w:spacing w:after="0" w:line="360" w:lineRule="auto"/>
              <w:ind w:left="0"/>
              <w:jc w:val="center"/>
              <w:rPr>
                <w:rFonts w:ascii="Times New Roman" w:hAnsi="Times New Roman" w:cs="Times New Roman"/>
                <w:b/>
                <w:iCs/>
                <w:sz w:val="24"/>
                <w:szCs w:val="24"/>
                <w:lang w:val="bg-BG"/>
              </w:rPr>
            </w:pPr>
            <w:r>
              <w:rPr>
                <w:rFonts w:ascii="Times New Roman" w:hAnsi="Times New Roman" w:cs="Times New Roman"/>
                <w:b/>
                <w:iCs/>
                <w:sz w:val="24"/>
                <w:szCs w:val="24"/>
                <w:lang w:val="bg-BG"/>
              </w:rPr>
              <w:t>Показател</w:t>
            </w:r>
          </w:p>
        </w:tc>
        <w:tc>
          <w:tcPr>
            <w:tcW w:w="2127" w:type="dxa"/>
            <w:shd w:val="clear" w:color="auto" w:fill="D8D8D8" w:themeFill="background1" w:themeFillShade="D9"/>
          </w:tcPr>
          <w:p>
            <w:pPr>
              <w:pStyle w:val="17"/>
              <w:spacing w:after="0" w:line="360" w:lineRule="auto"/>
              <w:ind w:left="0"/>
              <w:jc w:val="center"/>
              <w:rPr>
                <w:rFonts w:ascii="Times New Roman" w:hAnsi="Times New Roman" w:cs="Times New Roman"/>
                <w:b/>
                <w:iCs/>
                <w:sz w:val="24"/>
                <w:szCs w:val="24"/>
                <w:lang w:val="bg-BG"/>
              </w:rPr>
            </w:pPr>
            <w:r>
              <w:rPr>
                <w:rFonts w:ascii="Times New Roman" w:hAnsi="Times New Roman" w:cs="Times New Roman"/>
                <w:b/>
                <w:iCs/>
                <w:sz w:val="24"/>
                <w:szCs w:val="24"/>
                <w:lang w:val="bg-BG"/>
              </w:rPr>
              <w:t>Текуща стойност</w:t>
            </w:r>
          </w:p>
          <w:p>
            <w:pPr>
              <w:pStyle w:val="17"/>
              <w:spacing w:after="0" w:line="360" w:lineRule="auto"/>
              <w:ind w:left="0"/>
              <w:jc w:val="center"/>
              <w:rPr>
                <w:rFonts w:ascii="Times New Roman" w:hAnsi="Times New Roman" w:cs="Times New Roman"/>
                <w:b/>
                <w:iCs/>
                <w:sz w:val="24"/>
                <w:szCs w:val="24"/>
                <w:lang w:val="bg-BG"/>
              </w:rPr>
            </w:pPr>
            <w:r>
              <w:rPr>
                <w:rFonts w:ascii="Times New Roman" w:hAnsi="Times New Roman" w:cs="Times New Roman"/>
                <w:b/>
                <w:iCs/>
                <w:sz w:val="24"/>
                <w:szCs w:val="24"/>
                <w:lang w:val="bg-BG"/>
              </w:rPr>
              <w:t>(учебна 2023/2024 година)</w:t>
            </w:r>
          </w:p>
        </w:tc>
        <w:tc>
          <w:tcPr>
            <w:tcW w:w="2171" w:type="dxa"/>
            <w:shd w:val="clear" w:color="auto" w:fill="D8D8D8" w:themeFill="background1" w:themeFillShade="D9"/>
          </w:tcPr>
          <w:p>
            <w:pPr>
              <w:pStyle w:val="17"/>
              <w:spacing w:after="0" w:line="360" w:lineRule="auto"/>
              <w:ind w:left="0"/>
              <w:jc w:val="center"/>
              <w:rPr>
                <w:rFonts w:ascii="Times New Roman" w:hAnsi="Times New Roman" w:cs="Times New Roman"/>
                <w:b/>
                <w:iCs/>
                <w:sz w:val="24"/>
                <w:szCs w:val="24"/>
                <w:lang w:val="bg-BG"/>
              </w:rPr>
            </w:pPr>
            <w:r>
              <w:rPr>
                <w:rFonts w:ascii="Times New Roman" w:hAnsi="Times New Roman" w:cs="Times New Roman"/>
                <w:b/>
                <w:iCs/>
                <w:sz w:val="24"/>
                <w:szCs w:val="24"/>
                <w:lang w:val="bg-BG"/>
              </w:rPr>
              <w:t>Целева стойност (учебна 2024/2025 година)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1.</w:t>
            </w:r>
          </w:p>
        </w:tc>
        <w:tc>
          <w:tcPr>
            <w:tcW w:w="4526" w:type="dxa"/>
          </w:tcPr>
          <w:p>
            <w:pPr>
              <w:pStyle w:val="17"/>
              <w:spacing w:after="0" w:line="360" w:lineRule="auto"/>
              <w:ind w:left="0"/>
              <w:jc w:val="both"/>
              <w:rPr>
                <w:rFonts w:hint="default" w:ascii="Times New Roman" w:hAnsi="Times New Roman" w:cs="Times New Roman"/>
                <w:iCs/>
                <w:sz w:val="24"/>
                <w:szCs w:val="24"/>
                <w:lang w:val="bg-BG"/>
              </w:rPr>
            </w:pPr>
            <w:r>
              <w:rPr>
                <w:rFonts w:ascii="Times New Roman" w:hAnsi="Times New Roman" w:cs="Times New Roman"/>
                <w:iCs/>
                <w:sz w:val="24"/>
                <w:szCs w:val="24"/>
                <w:lang w:val="bg-BG"/>
              </w:rPr>
              <w:t>Брой подпомогнати общини за реализиране на дейности за образователна десегрегация и превенция за недопускане на вторична сегрегация</w:t>
            </w:r>
            <w:r>
              <w:rPr>
                <w:rFonts w:hint="default" w:ascii="Times New Roman" w:hAnsi="Times New Roman" w:cs="Times New Roman"/>
                <w:iCs/>
                <w:sz w:val="24"/>
                <w:szCs w:val="24"/>
                <w:lang w:val="bg-BG"/>
              </w:rPr>
              <w:t>.</w:t>
            </w:r>
          </w:p>
        </w:tc>
        <w:tc>
          <w:tcPr>
            <w:tcW w:w="2127"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8</w:t>
            </w:r>
          </w:p>
        </w:tc>
        <w:tc>
          <w:tcPr>
            <w:tcW w:w="2171"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2.</w:t>
            </w:r>
          </w:p>
        </w:tc>
        <w:tc>
          <w:tcPr>
            <w:tcW w:w="4526" w:type="dxa"/>
          </w:tcPr>
          <w:p>
            <w:pPr>
              <w:pStyle w:val="17"/>
              <w:spacing w:after="0" w:line="360" w:lineRule="auto"/>
              <w:ind w:left="0"/>
              <w:jc w:val="both"/>
              <w:rPr>
                <w:rFonts w:hint="default" w:ascii="Times New Roman" w:hAnsi="Times New Roman" w:cs="Times New Roman"/>
                <w:iCs/>
                <w:sz w:val="24"/>
                <w:szCs w:val="24"/>
                <w:lang w:val="bg-BG"/>
              </w:rPr>
            </w:pPr>
            <w:r>
              <w:rPr>
                <w:rFonts w:ascii="Times New Roman" w:hAnsi="Times New Roman" w:cs="Times New Roman"/>
                <w:iCs/>
                <w:sz w:val="24"/>
                <w:szCs w:val="24"/>
                <w:lang w:val="bg-BG"/>
              </w:rPr>
              <w:t>Брой деца и ученици, за които е осигурен безплатен транспорт в рамките на населеното им място</w:t>
            </w:r>
            <w:r>
              <w:rPr>
                <w:rFonts w:hint="default" w:ascii="Times New Roman" w:hAnsi="Times New Roman" w:cs="Times New Roman"/>
                <w:iCs/>
                <w:sz w:val="24"/>
                <w:szCs w:val="24"/>
                <w:lang w:val="bg-BG"/>
              </w:rPr>
              <w:t>.</w:t>
            </w:r>
          </w:p>
        </w:tc>
        <w:tc>
          <w:tcPr>
            <w:tcW w:w="2127"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410</w:t>
            </w:r>
          </w:p>
        </w:tc>
        <w:tc>
          <w:tcPr>
            <w:tcW w:w="2171"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3.</w:t>
            </w:r>
          </w:p>
        </w:tc>
        <w:tc>
          <w:tcPr>
            <w:tcW w:w="4526" w:type="dxa"/>
          </w:tcPr>
          <w:p>
            <w:pPr>
              <w:pStyle w:val="17"/>
              <w:spacing w:after="0" w:line="360" w:lineRule="auto"/>
              <w:ind w:left="0"/>
              <w:jc w:val="both"/>
              <w:rPr>
                <w:rFonts w:hint="default" w:ascii="Times New Roman" w:hAnsi="Times New Roman" w:cs="Times New Roman"/>
                <w:iCs/>
                <w:sz w:val="24"/>
                <w:szCs w:val="24"/>
                <w:lang w:val="bg-BG"/>
              </w:rPr>
            </w:pPr>
            <w:r>
              <w:rPr>
                <w:rFonts w:ascii="Times New Roman" w:hAnsi="Times New Roman" w:cs="Times New Roman"/>
                <w:iCs/>
                <w:sz w:val="24"/>
                <w:szCs w:val="24"/>
                <w:lang w:val="bg-BG"/>
              </w:rPr>
              <w:t>Брой деца в задължително предучилищно образование и ученици до VII клас, включени в процеса на образователна десегрегация и превенция за недопускане на вторична сегрегация и за които са осигурени учебни пособия и материали</w:t>
            </w:r>
            <w:r>
              <w:rPr>
                <w:rFonts w:hint="default" w:ascii="Times New Roman" w:hAnsi="Times New Roman" w:cs="Times New Roman"/>
                <w:iCs/>
                <w:sz w:val="24"/>
                <w:szCs w:val="24"/>
                <w:lang w:val="bg-BG"/>
              </w:rPr>
              <w:t>.</w:t>
            </w:r>
          </w:p>
        </w:tc>
        <w:tc>
          <w:tcPr>
            <w:tcW w:w="2127"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1217</w:t>
            </w:r>
          </w:p>
        </w:tc>
        <w:tc>
          <w:tcPr>
            <w:tcW w:w="2171"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4.</w:t>
            </w:r>
          </w:p>
        </w:tc>
        <w:tc>
          <w:tcPr>
            <w:tcW w:w="4526" w:type="dxa"/>
          </w:tcPr>
          <w:p>
            <w:pPr>
              <w:pStyle w:val="17"/>
              <w:spacing w:after="0" w:line="360" w:lineRule="auto"/>
              <w:ind w:left="0"/>
              <w:jc w:val="both"/>
              <w:rPr>
                <w:rFonts w:hint="default" w:ascii="Times New Roman" w:hAnsi="Times New Roman" w:cs="Times New Roman"/>
                <w:iCs/>
                <w:sz w:val="24"/>
                <w:szCs w:val="24"/>
                <w:lang w:val="bg-BG"/>
              </w:rPr>
            </w:pPr>
            <w:r>
              <w:rPr>
                <w:rFonts w:ascii="Times New Roman" w:hAnsi="Times New Roman" w:cs="Times New Roman"/>
                <w:iCs/>
                <w:sz w:val="24"/>
                <w:szCs w:val="24"/>
                <w:lang w:val="bg-BG"/>
              </w:rPr>
              <w:t>Брой мотивационни дейности, свързани с десегрeгационните процеси и задържането на децата и учениците в образователната система</w:t>
            </w:r>
            <w:r>
              <w:rPr>
                <w:rFonts w:hint="default" w:ascii="Times New Roman" w:hAnsi="Times New Roman" w:cs="Times New Roman"/>
                <w:iCs/>
                <w:sz w:val="24"/>
                <w:szCs w:val="24"/>
                <w:lang w:val="bg-BG"/>
              </w:rPr>
              <w:t>.</w:t>
            </w:r>
          </w:p>
        </w:tc>
        <w:tc>
          <w:tcPr>
            <w:tcW w:w="2127"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18</w:t>
            </w:r>
          </w:p>
        </w:tc>
        <w:tc>
          <w:tcPr>
            <w:tcW w:w="2171"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5.</w:t>
            </w:r>
          </w:p>
        </w:tc>
        <w:tc>
          <w:tcPr>
            <w:tcW w:w="4526" w:type="dxa"/>
          </w:tcPr>
          <w:p>
            <w:pPr>
              <w:pStyle w:val="17"/>
              <w:spacing w:after="0" w:line="360" w:lineRule="auto"/>
              <w:ind w:left="0"/>
              <w:jc w:val="both"/>
              <w:rPr>
                <w:rFonts w:hint="default" w:ascii="Times New Roman" w:hAnsi="Times New Roman" w:cs="Times New Roman"/>
                <w:iCs/>
                <w:sz w:val="24"/>
                <w:szCs w:val="24"/>
                <w:lang w:val="bg-BG"/>
              </w:rPr>
            </w:pPr>
            <w:r>
              <w:rPr>
                <w:rFonts w:ascii="Times New Roman" w:hAnsi="Times New Roman" w:cs="Times New Roman"/>
                <w:iCs/>
                <w:sz w:val="24"/>
                <w:szCs w:val="24"/>
                <w:lang w:val="bg-BG"/>
              </w:rPr>
              <w:t>Брой родители, включени по проекта и участвали в проектните дейности с цел повишаване на мотивацията им да записват децата на детска градина и училище</w:t>
            </w:r>
            <w:r>
              <w:rPr>
                <w:rFonts w:hint="default" w:ascii="Times New Roman" w:hAnsi="Times New Roman" w:cs="Times New Roman"/>
                <w:iCs/>
                <w:sz w:val="24"/>
                <w:szCs w:val="24"/>
                <w:lang w:val="bg-BG"/>
              </w:rPr>
              <w:t>.</w:t>
            </w:r>
          </w:p>
        </w:tc>
        <w:tc>
          <w:tcPr>
            <w:tcW w:w="2127"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903</w:t>
            </w:r>
          </w:p>
        </w:tc>
        <w:tc>
          <w:tcPr>
            <w:tcW w:w="2171"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6.</w:t>
            </w:r>
          </w:p>
        </w:tc>
        <w:tc>
          <w:tcPr>
            <w:tcW w:w="4526" w:type="dxa"/>
          </w:tcPr>
          <w:p>
            <w:pPr>
              <w:pStyle w:val="17"/>
              <w:spacing w:after="0" w:line="360" w:lineRule="auto"/>
              <w:ind w:left="0"/>
              <w:jc w:val="both"/>
              <w:rPr>
                <w:rFonts w:hint="default" w:ascii="Times New Roman" w:hAnsi="Times New Roman" w:cs="Times New Roman"/>
                <w:iCs/>
                <w:sz w:val="24"/>
                <w:szCs w:val="24"/>
                <w:lang w:val="bg-BG"/>
              </w:rPr>
            </w:pPr>
            <w:r>
              <w:rPr>
                <w:rFonts w:ascii="Times New Roman" w:hAnsi="Times New Roman" w:cs="Times New Roman"/>
                <w:iCs/>
                <w:sz w:val="24"/>
                <w:szCs w:val="24"/>
                <w:lang w:val="bg-BG"/>
              </w:rPr>
              <w:t>Брой образователни медиатори и друг непедагогически персонал (помощници на учителя и социални работници в образованието), включени в проектните дейности</w:t>
            </w:r>
            <w:r>
              <w:rPr>
                <w:rFonts w:hint="default" w:ascii="Times New Roman" w:hAnsi="Times New Roman" w:cs="Times New Roman"/>
                <w:iCs/>
                <w:sz w:val="24"/>
                <w:szCs w:val="24"/>
                <w:lang w:val="bg-BG"/>
              </w:rPr>
              <w:t>.</w:t>
            </w:r>
          </w:p>
        </w:tc>
        <w:tc>
          <w:tcPr>
            <w:tcW w:w="2127"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20</w:t>
            </w:r>
          </w:p>
        </w:tc>
        <w:tc>
          <w:tcPr>
            <w:tcW w:w="2171"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tcPr>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iCs/>
                <w:sz w:val="24"/>
                <w:szCs w:val="24"/>
                <w:lang w:val="bg-BG"/>
              </w:rPr>
              <w:t>7.</w:t>
            </w:r>
          </w:p>
        </w:tc>
        <w:tc>
          <w:tcPr>
            <w:tcW w:w="4526" w:type="dxa"/>
          </w:tcPr>
          <w:p>
            <w:pPr>
              <w:pStyle w:val="17"/>
              <w:spacing w:after="0" w:line="360" w:lineRule="auto"/>
              <w:ind w:left="0"/>
              <w:jc w:val="both"/>
              <w:rPr>
                <w:rFonts w:hint="default" w:ascii="Times New Roman" w:hAnsi="Times New Roman" w:cs="Times New Roman"/>
                <w:iCs/>
                <w:sz w:val="24"/>
                <w:szCs w:val="24"/>
                <w:lang w:val="bg-BG"/>
              </w:rPr>
            </w:pPr>
            <w:r>
              <w:rPr>
                <w:rFonts w:ascii="Times New Roman" w:hAnsi="Times New Roman" w:cs="Times New Roman"/>
                <w:iCs/>
                <w:sz w:val="24"/>
                <w:szCs w:val="24"/>
                <w:lang w:val="bg-BG"/>
              </w:rPr>
              <w:t>Брой реализирани дейности с родители, деца и ученици и представители на институции за изграждане на среда, осигуряваща ефективен процес на десегрегация и превенция за недопускане на вторична сегрегация</w:t>
            </w:r>
            <w:r>
              <w:rPr>
                <w:rFonts w:hint="default" w:ascii="Times New Roman" w:hAnsi="Times New Roman" w:cs="Times New Roman"/>
                <w:iCs/>
                <w:sz w:val="24"/>
                <w:szCs w:val="24"/>
                <w:lang w:val="bg-BG"/>
              </w:rPr>
              <w:t>.</w:t>
            </w:r>
          </w:p>
        </w:tc>
        <w:tc>
          <w:tcPr>
            <w:tcW w:w="2127"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24</w:t>
            </w:r>
          </w:p>
        </w:tc>
        <w:tc>
          <w:tcPr>
            <w:tcW w:w="2171" w:type="dxa"/>
          </w:tcPr>
          <w:p>
            <w:pPr>
              <w:pStyle w:val="17"/>
              <w:spacing w:after="0" w:line="360" w:lineRule="auto"/>
              <w:ind w:left="0"/>
              <w:jc w:val="center"/>
              <w:rPr>
                <w:rFonts w:ascii="Times New Roman" w:hAnsi="Times New Roman" w:cs="Times New Roman"/>
                <w:iCs/>
                <w:sz w:val="24"/>
                <w:szCs w:val="24"/>
                <w:lang w:val="bg-BG"/>
              </w:rPr>
            </w:pPr>
            <w:r>
              <w:rPr>
                <w:rFonts w:ascii="Times New Roman" w:hAnsi="Times New Roman" w:cs="Times New Roman"/>
                <w:iCs/>
                <w:sz w:val="24"/>
                <w:szCs w:val="24"/>
                <w:lang w:val="bg-BG"/>
              </w:rPr>
              <w:t>40</w:t>
            </w:r>
          </w:p>
        </w:tc>
      </w:tr>
    </w:tbl>
    <w:p>
      <w:pPr>
        <w:pStyle w:val="17"/>
        <w:spacing w:after="0" w:line="360" w:lineRule="auto"/>
        <w:ind w:left="0"/>
        <w:rPr>
          <w:rFonts w:ascii="Times New Roman" w:hAnsi="Times New Roman" w:cs="Times New Roman"/>
          <w:i/>
          <w:iCs/>
          <w:color w:val="FF0000"/>
          <w:sz w:val="24"/>
          <w:szCs w:val="24"/>
          <w:lang w:val="bg-BG"/>
        </w:rPr>
      </w:pPr>
    </w:p>
    <w:p>
      <w:pPr>
        <w:pStyle w:val="17"/>
        <w:numPr>
          <w:ilvl w:val="0"/>
          <w:numId w:val="1"/>
        </w:numPr>
        <w:tabs>
          <w:tab w:val="left" w:pos="360"/>
        </w:tabs>
        <w:spacing w:after="0" w:line="360" w:lineRule="auto"/>
        <w:ind w:left="0" w:firstLine="0"/>
        <w:rPr>
          <w:rFonts w:ascii="Times New Roman" w:hAnsi="Times New Roman" w:cs="Times New Roman"/>
          <w:i/>
          <w:iCs/>
          <w:color w:val="2E75B6" w:themeColor="accent5" w:themeShade="BF"/>
          <w:sz w:val="24"/>
          <w:szCs w:val="24"/>
          <w:lang w:val="bg-BG"/>
        </w:rPr>
      </w:pPr>
      <w:r>
        <w:rPr>
          <w:rFonts w:ascii="Times New Roman" w:hAnsi="Times New Roman" w:cs="Times New Roman"/>
          <w:b/>
          <w:bCs/>
          <w:sz w:val="24"/>
          <w:szCs w:val="24"/>
          <w:lang w:val="bg-BG"/>
        </w:rPr>
        <w:t xml:space="preserve">ЦЕЛЕВА ГРУПА </w:t>
      </w:r>
    </w:p>
    <w:p>
      <w:pPr>
        <w:pStyle w:val="17"/>
        <w:spacing w:after="0" w:line="360" w:lineRule="auto"/>
        <w:ind w:left="0"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Целевата група за включване в дейностите по програмата са деца в задължително предучилищно образование и ученици, които посещават сегрегирани образователни институции или паралелки, или са били необхванати в образователната система и имат потребност от подпомагане за приобщаване в образователната система, както и родителите на всички деца и ученици.</w:t>
      </w:r>
    </w:p>
    <w:p>
      <w:pPr>
        <w:pStyle w:val="17"/>
        <w:spacing w:after="0" w:line="360" w:lineRule="auto"/>
        <w:ind w:left="0"/>
        <w:rPr>
          <w:rFonts w:ascii="Times New Roman" w:hAnsi="Times New Roman" w:cs="Times New Roman"/>
          <w:i/>
          <w:iCs/>
          <w:color w:val="2E75B6" w:themeColor="accent5" w:themeShade="BF"/>
          <w:sz w:val="24"/>
          <w:szCs w:val="24"/>
          <w:lang w:val="bg-BG"/>
        </w:rPr>
      </w:pPr>
    </w:p>
    <w:p>
      <w:pPr>
        <w:pStyle w:val="17"/>
        <w:numPr>
          <w:ilvl w:val="0"/>
          <w:numId w:val="1"/>
        </w:numPr>
        <w:spacing w:after="0" w:line="360" w:lineRule="auto"/>
        <w:rPr>
          <w:rFonts w:ascii="Times New Roman" w:hAnsi="Times New Roman" w:cs="Times New Roman"/>
          <w:b/>
          <w:bCs/>
          <w:i/>
          <w:iCs/>
          <w:color w:val="2E75B6" w:themeColor="accent5" w:themeShade="BF"/>
          <w:sz w:val="24"/>
          <w:szCs w:val="24"/>
          <w:lang w:val="bg-BG"/>
        </w:rPr>
      </w:pPr>
      <w:r>
        <w:rPr>
          <w:rFonts w:ascii="Times New Roman" w:hAnsi="Times New Roman" w:cs="Times New Roman"/>
          <w:b/>
          <w:bCs/>
          <w:sz w:val="24"/>
          <w:szCs w:val="24"/>
          <w:lang w:val="bg-BG"/>
        </w:rPr>
        <w:t>ОЧАКВАНИ РЕЗУЛТАТИ</w:t>
      </w:r>
    </w:p>
    <w:p>
      <w:pPr>
        <w:pStyle w:val="17"/>
        <w:numPr>
          <w:ilvl w:val="0"/>
          <w:numId w:val="3"/>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Повишен брой общини, реализиращи процесите по образователна десегрегация и превенция за недопускане на вторичната сегрегация;</w:t>
      </w:r>
    </w:p>
    <w:p>
      <w:pPr>
        <w:pStyle w:val="17"/>
        <w:numPr>
          <w:ilvl w:val="0"/>
          <w:numId w:val="3"/>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Повишен брой на децата и учениците, обучаващи се в приемни образователни институции в етнически смесена среда;</w:t>
      </w:r>
    </w:p>
    <w:p>
      <w:pPr>
        <w:pStyle w:val="17"/>
        <w:numPr>
          <w:ilvl w:val="0"/>
          <w:numId w:val="3"/>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Осигурена социална и образователна подкрепа за децата в задължително предучилищно образование и за учениците от уязвими групи до VII клас, включени в процеса на образователна десегрегация и превенция за недопускане на вторична сегрегация;</w:t>
      </w:r>
    </w:p>
    <w:p>
      <w:pPr>
        <w:pStyle w:val="17"/>
        <w:numPr>
          <w:ilvl w:val="0"/>
          <w:numId w:val="3"/>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Осигурена психологическа и социално-комуникативна подкрепа на всички участници в образователния процес;</w:t>
      </w:r>
    </w:p>
    <w:p>
      <w:pPr>
        <w:pStyle w:val="17"/>
        <w:numPr>
          <w:ilvl w:val="0"/>
          <w:numId w:val="3"/>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Повишен капацитет на местните власти и образователните институции за подобряване на процесите на социално и образователно включване чрез дейността на непедагогическия персонал (образователни медиатори, помощници на учителя и социални работници в образованието);</w:t>
      </w:r>
    </w:p>
    <w:p>
      <w:pPr>
        <w:pStyle w:val="17"/>
        <w:numPr>
          <w:ilvl w:val="0"/>
          <w:numId w:val="3"/>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Осигурена позитивна и подкрепяща образователна среда в приемните образователни институции за процес на образователна десегрегация и превенция на вторичната сегрегация;</w:t>
      </w:r>
    </w:p>
    <w:p>
      <w:pPr>
        <w:pStyle w:val="17"/>
        <w:numPr>
          <w:ilvl w:val="0"/>
          <w:numId w:val="3"/>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Реализирани мерки за подобряване на взаимодействието „образователна институция – семейство“. </w:t>
      </w:r>
    </w:p>
    <w:p>
      <w:pPr>
        <w:rPr>
          <w:rFonts w:ascii="Times New Roman" w:hAnsi="Times New Roman" w:cs="Times New Roman"/>
          <w:color w:val="2E75B6" w:themeColor="accent5" w:themeShade="BF"/>
          <w:sz w:val="24"/>
          <w:szCs w:val="24"/>
          <w:lang w:val="bg-BG"/>
        </w:rPr>
      </w:pPr>
    </w:p>
    <w:p>
      <w:pPr>
        <w:pStyle w:val="17"/>
        <w:numPr>
          <w:ilvl w:val="0"/>
          <w:numId w:val="1"/>
        </w:numPr>
        <w:jc w:val="both"/>
        <w:rPr>
          <w:rFonts w:ascii="Times New Roman" w:hAnsi="Times New Roman" w:cs="Times New Roman"/>
          <w:i/>
          <w:iCs/>
          <w:color w:val="2E75B6" w:themeColor="accent5" w:themeShade="BF"/>
          <w:sz w:val="24"/>
          <w:szCs w:val="24"/>
          <w:lang w:val="bg-BG"/>
        </w:rPr>
      </w:pPr>
      <w:r>
        <w:rPr>
          <w:rFonts w:ascii="Times New Roman" w:hAnsi="Times New Roman" w:cs="Times New Roman"/>
          <w:b/>
          <w:bCs/>
          <w:sz w:val="24"/>
          <w:szCs w:val="24"/>
          <w:lang w:val="bg-BG"/>
        </w:rPr>
        <w:t xml:space="preserve">БЮДЖЕТ </w:t>
      </w:r>
    </w:p>
    <w:p>
      <w:pPr>
        <w:spacing w:after="0" w:line="360" w:lineRule="auto"/>
        <w:jc w:val="both"/>
        <w:rPr>
          <w:rFonts w:ascii="Times New Roman" w:hAnsi="Times New Roman" w:cs="Times New Roman"/>
          <w:iCs/>
          <w:sz w:val="24"/>
          <w:szCs w:val="24"/>
          <w:lang w:val="bg-BG"/>
        </w:rPr>
      </w:pPr>
      <w:r>
        <w:rPr>
          <w:rFonts w:ascii="Times New Roman" w:hAnsi="Times New Roman" w:cs="Times New Roman"/>
          <w:b/>
          <w:iCs/>
          <w:sz w:val="24"/>
          <w:szCs w:val="24"/>
          <w:lang w:val="bg-BG"/>
        </w:rPr>
        <w:t>Общ бюджет</w:t>
      </w:r>
      <w:r>
        <w:rPr>
          <w:rFonts w:ascii="Times New Roman" w:hAnsi="Times New Roman" w:cs="Times New Roman"/>
          <w:iCs/>
          <w:sz w:val="24"/>
          <w:szCs w:val="24"/>
          <w:lang w:val="bg-BG"/>
        </w:rPr>
        <w:t xml:space="preserve">: </w:t>
      </w:r>
      <w:r>
        <w:rPr>
          <w:rFonts w:ascii="Times New Roman" w:hAnsi="Times New Roman" w:cs="Times New Roman"/>
          <w:b/>
          <w:bCs/>
          <w:iCs/>
          <w:sz w:val="24"/>
          <w:szCs w:val="24"/>
          <w:lang w:val="bg-BG"/>
        </w:rPr>
        <w:t>500 000 лв</w:t>
      </w:r>
      <w:r>
        <w:rPr>
          <w:rFonts w:ascii="Times New Roman" w:hAnsi="Times New Roman" w:cs="Times New Roman"/>
          <w:iCs/>
          <w:sz w:val="24"/>
          <w:szCs w:val="24"/>
          <w:lang w:val="bg-BG"/>
        </w:rPr>
        <w:t>., в това число за мониторинг в размер до 5000 лв.; Източник на финансиране – държавен бюджет.</w:t>
      </w:r>
    </w:p>
    <w:p>
      <w:pPr>
        <w:pStyle w:val="17"/>
        <w:numPr>
          <w:ilvl w:val="0"/>
          <w:numId w:val="1"/>
        </w:num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ДОПУСТИМИ КАНДИДАТИ</w:t>
      </w:r>
    </w:p>
    <w:p>
      <w:pPr>
        <w:pStyle w:val="17"/>
        <w:spacing w:after="0" w:line="360" w:lineRule="auto"/>
        <w:ind w:left="0"/>
        <w:jc w:val="both"/>
        <w:rPr>
          <w:rFonts w:ascii="Times New Roman" w:hAnsi="Times New Roman" w:cs="Times New Roman"/>
          <w:b/>
          <w:iCs/>
          <w:sz w:val="24"/>
          <w:szCs w:val="24"/>
          <w:lang w:val="bg-BG"/>
        </w:rPr>
      </w:pPr>
      <w:r>
        <w:rPr>
          <w:rFonts w:ascii="Times New Roman" w:hAnsi="Times New Roman" w:cs="Times New Roman"/>
          <w:b/>
          <w:iCs/>
          <w:sz w:val="24"/>
          <w:szCs w:val="24"/>
          <w:lang w:val="bg-BG"/>
        </w:rPr>
        <w:t>7.1. Критерии за допустимост на кандидатите:</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Кандидати могат да бъдат всички общини на територията на Република България, отговарящи на следните условия:</w:t>
      </w:r>
    </w:p>
    <w:p>
      <w:pPr>
        <w:pStyle w:val="17"/>
        <w:numPr>
          <w:ilvl w:val="0"/>
          <w:numId w:val="4"/>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Наличие най-малко на три образователни институции на територията на населеното място, където ще се осъществяват дейностите и наличие на поне една образователна институция, установена като сегрегирана, или наличие на обособени квартали/райони с преобладаващо ромско население с риск от вторична сегрегация на образователните институции;</w:t>
      </w:r>
    </w:p>
    <w:p>
      <w:pPr>
        <w:pStyle w:val="17"/>
        <w:numPr>
          <w:ilvl w:val="0"/>
          <w:numId w:val="4"/>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Наличие на съфинансиране от общините, което трябва да е в размер на минимум 10% от исканото финансиране от програмата;</w:t>
      </w:r>
    </w:p>
    <w:p>
      <w:pPr>
        <w:pStyle w:val="17"/>
        <w:numPr>
          <w:ilvl w:val="0"/>
          <w:numId w:val="4"/>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Задължително включване в проектното предложение на дейността на непедагогическия персонал (образователни медиатори, помощници на учителя или социални работници в образованието).</w:t>
      </w:r>
    </w:p>
    <w:p>
      <w:pPr>
        <w:spacing w:after="0" w:line="360" w:lineRule="auto"/>
        <w:jc w:val="both"/>
        <w:rPr>
          <w:rFonts w:ascii="Times New Roman" w:hAnsi="Times New Roman" w:cs="Times New Roman"/>
          <w:b/>
          <w:iCs/>
          <w:sz w:val="24"/>
          <w:szCs w:val="24"/>
          <w:lang w:val="bg-BG"/>
        </w:rPr>
      </w:pPr>
      <w:r>
        <w:rPr>
          <w:rFonts w:ascii="Times New Roman" w:hAnsi="Times New Roman" w:cs="Times New Roman"/>
          <w:b/>
          <w:iCs/>
          <w:sz w:val="24"/>
          <w:szCs w:val="24"/>
          <w:lang w:val="bg-BG"/>
        </w:rPr>
        <w:t>7.2. Критерии за допустимост на партньора/ите:</w:t>
      </w:r>
    </w:p>
    <w:p>
      <w:pPr>
        <w:pStyle w:val="17"/>
        <w:numPr>
          <w:ilvl w:val="0"/>
          <w:numId w:val="5"/>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Партньори на общините трябва да бъдат всички приемни образователни институции, предвидени да участват в проектните предложения;</w:t>
      </w:r>
    </w:p>
    <w:p>
      <w:pPr>
        <w:pStyle w:val="17"/>
        <w:numPr>
          <w:ilvl w:val="0"/>
          <w:numId w:val="5"/>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При установена необходимост може да се реализира партньорство и с изпращащите образователни институции</w:t>
      </w:r>
      <w:r>
        <w:rPr>
          <w:rStyle w:val="9"/>
          <w:rFonts w:ascii="Times New Roman" w:hAnsi="Times New Roman" w:cs="Times New Roman"/>
          <w:iCs/>
          <w:sz w:val="24"/>
          <w:szCs w:val="24"/>
          <w:lang w:val="bg-BG"/>
        </w:rPr>
        <w:footnoteReference w:id="1"/>
      </w:r>
      <w:r>
        <w:rPr>
          <w:rFonts w:ascii="Times New Roman" w:hAnsi="Times New Roman" w:cs="Times New Roman"/>
          <w:iCs/>
          <w:sz w:val="24"/>
          <w:szCs w:val="24"/>
          <w:lang w:val="bg-BG"/>
        </w:rPr>
        <w:t>;</w:t>
      </w:r>
    </w:p>
    <w:p>
      <w:pPr>
        <w:pStyle w:val="17"/>
        <w:numPr>
          <w:ilvl w:val="0"/>
          <w:numId w:val="5"/>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Кандидатът може да делегира на партньора/те изпълнение на дейности и да осигури необходимите средства за изпълнението им.</w:t>
      </w:r>
    </w:p>
    <w:p>
      <w:pPr>
        <w:pStyle w:val="17"/>
        <w:spacing w:after="0" w:line="360" w:lineRule="auto"/>
        <w:ind w:left="0"/>
        <w:jc w:val="both"/>
        <w:rPr>
          <w:rFonts w:ascii="Times New Roman" w:hAnsi="Times New Roman" w:cs="Times New Roman"/>
          <w:i/>
          <w:iCs/>
          <w:sz w:val="24"/>
          <w:szCs w:val="24"/>
          <w:lang w:val="bg-BG"/>
        </w:rPr>
      </w:pPr>
    </w:p>
    <w:p>
      <w:pPr>
        <w:pStyle w:val="17"/>
        <w:numPr>
          <w:ilvl w:val="0"/>
          <w:numId w:val="1"/>
        </w:numPr>
        <w:spacing w:after="0" w:line="360" w:lineRule="auto"/>
        <w:rPr>
          <w:rFonts w:ascii="Times New Roman" w:hAnsi="Times New Roman" w:cs="Times New Roman"/>
          <w:i/>
          <w:iCs/>
          <w:sz w:val="24"/>
          <w:szCs w:val="24"/>
          <w:lang w:val="bg-BG"/>
        </w:rPr>
      </w:pPr>
      <w:r>
        <w:rPr>
          <w:rFonts w:ascii="Times New Roman" w:hAnsi="Times New Roman" w:cs="Times New Roman"/>
          <w:b/>
          <w:bCs/>
          <w:sz w:val="24"/>
          <w:szCs w:val="24"/>
          <w:lang w:val="bg-BG"/>
        </w:rPr>
        <w:t xml:space="preserve">СРОК НА ИЗПЪЛНЕНИЕ </w:t>
      </w:r>
    </w:p>
    <w:p>
      <w:pPr>
        <w:spacing w:after="0" w:line="360" w:lineRule="auto"/>
        <w:ind w:firstLine="720"/>
        <w:jc w:val="both"/>
        <w:rPr>
          <w:rFonts w:ascii="Times New Roman" w:hAnsi="Times New Roman" w:cs="Times New Roman"/>
          <w:bCs/>
          <w:iCs/>
          <w:sz w:val="24"/>
          <w:szCs w:val="24"/>
          <w:lang w:val="bg-BG"/>
        </w:rPr>
      </w:pPr>
      <w:r>
        <w:rPr>
          <w:rFonts w:ascii="Times New Roman" w:hAnsi="Times New Roman" w:cs="Times New Roman"/>
          <w:bCs/>
          <w:iCs/>
          <w:sz w:val="24"/>
          <w:szCs w:val="24"/>
          <w:lang w:val="bg-BG"/>
        </w:rPr>
        <w:t>Срок на програмата: учебната 2024/2025 година.</w:t>
      </w:r>
    </w:p>
    <w:p>
      <w:pPr>
        <w:pStyle w:val="17"/>
        <w:spacing w:after="0" w:line="360" w:lineRule="auto"/>
        <w:ind w:left="360"/>
        <w:rPr>
          <w:rFonts w:ascii="Times New Roman" w:hAnsi="Times New Roman" w:cs="Times New Roman"/>
          <w:b/>
          <w:bCs/>
          <w:i/>
          <w:iCs/>
          <w:sz w:val="24"/>
          <w:szCs w:val="24"/>
          <w:lang w:val="bg-BG"/>
        </w:rPr>
      </w:pPr>
    </w:p>
    <w:p>
      <w:pPr>
        <w:pStyle w:val="17"/>
        <w:numPr>
          <w:ilvl w:val="0"/>
          <w:numId w:val="1"/>
        </w:numPr>
        <w:tabs>
          <w:tab w:val="left" w:pos="270"/>
        </w:tabs>
        <w:spacing w:after="0" w:line="360" w:lineRule="auto"/>
        <w:ind w:left="0" w:firstLine="0"/>
        <w:jc w:val="both"/>
        <w:rPr>
          <w:rFonts w:ascii="Times New Roman" w:hAnsi="Times New Roman" w:cs="Times New Roman"/>
          <w:i/>
          <w:iCs/>
          <w:color w:val="2E75B6" w:themeColor="accent5" w:themeShade="BF"/>
          <w:sz w:val="24"/>
          <w:szCs w:val="24"/>
          <w:lang w:val="bg-BG"/>
        </w:rPr>
      </w:pPr>
      <w:r>
        <w:rPr>
          <w:rFonts w:ascii="Times New Roman" w:hAnsi="Times New Roman" w:cs="Times New Roman"/>
          <w:b/>
          <w:bCs/>
          <w:sz w:val="24"/>
          <w:szCs w:val="24"/>
          <w:lang w:val="bg-BG"/>
        </w:rPr>
        <w:t>МЕХАНИЗЪМ ЗА НАБЛЮДЕНИЕ И ОТЧИТАНЕ ИЗПЪЛНЕНИЕТО НА ПРОГРАМАТА</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С цел да се оцени ползата от националната програма е необходимо да се направи оценка на ефективността на всеки реализиран проект. Това включва проследяване на</w:t>
      </w:r>
      <w:r>
        <w:rPr>
          <w:rFonts w:hint="default" w:ascii="Times New Roman" w:hAnsi="Times New Roman" w:cs="Times New Roman"/>
          <w:iCs/>
          <w:sz w:val="24"/>
          <w:szCs w:val="24"/>
          <w:lang w:val="bg-BG"/>
        </w:rPr>
        <w:t xml:space="preserve"> </w:t>
      </w:r>
      <w:r>
        <w:rPr>
          <w:rFonts w:ascii="Times New Roman" w:hAnsi="Times New Roman" w:cs="Times New Roman"/>
          <w:iCs/>
          <w:sz w:val="24"/>
          <w:szCs w:val="24"/>
          <w:lang w:val="bg-BG"/>
        </w:rPr>
        <w:t>изпълнението на заложените дейности, оценка на изпълнените дейности и оценка на популяризиране на резултатите и устойчивост.</w:t>
      </w:r>
    </w:p>
    <w:p>
      <w:pPr>
        <w:spacing w:after="0" w:line="360" w:lineRule="auto"/>
        <w:jc w:val="both"/>
        <w:rPr>
          <w:rFonts w:ascii="Times New Roman" w:hAnsi="Times New Roman" w:cs="Times New Roman"/>
          <w:iCs/>
          <w:sz w:val="24"/>
          <w:szCs w:val="24"/>
          <w:lang w:val="bg-BG"/>
        </w:rPr>
      </w:pPr>
      <w:r>
        <w:rPr>
          <w:rFonts w:ascii="Times New Roman" w:hAnsi="Times New Roman" w:cs="Times New Roman"/>
          <w:b/>
          <w:iCs/>
          <w:sz w:val="24"/>
          <w:szCs w:val="24"/>
          <w:lang w:val="bg-BG"/>
        </w:rPr>
        <w:t>9.1. Проследяване на изпълнението на заложените проектни дейности ще се извършва чрез мониторинг на финансираните проекти:</w:t>
      </w:r>
      <w:r>
        <w:rPr>
          <w:rFonts w:ascii="Times New Roman" w:hAnsi="Times New Roman" w:cs="Times New Roman"/>
          <w:iCs/>
          <w:sz w:val="24"/>
          <w:szCs w:val="24"/>
          <w:lang w:val="bg-BG"/>
        </w:rPr>
        <w:t xml:space="preserve"> текущ мониторинг и мониторинг (проверка) на място.</w:t>
      </w:r>
    </w:p>
    <w:p>
      <w:pPr>
        <w:spacing w:after="0" w:line="360" w:lineRule="auto"/>
        <w:ind w:left="720"/>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9.1.1. </w:t>
      </w:r>
      <w:r>
        <w:rPr>
          <w:rFonts w:ascii="Times New Roman" w:hAnsi="Times New Roman" w:cs="Times New Roman"/>
          <w:b/>
          <w:iCs/>
          <w:sz w:val="24"/>
          <w:szCs w:val="24"/>
          <w:lang w:val="bg-BG"/>
        </w:rPr>
        <w:t>Текущият мониторинг</w:t>
      </w:r>
      <w:r>
        <w:rPr>
          <w:rFonts w:ascii="Times New Roman" w:hAnsi="Times New Roman" w:cs="Times New Roman"/>
          <w:iCs/>
          <w:sz w:val="24"/>
          <w:szCs w:val="24"/>
          <w:lang w:val="bg-BG"/>
        </w:rPr>
        <w:t xml:space="preserve"> на проекти включва администрирането на проекти по сключени за финансиране договори с бенефициентите.</w:t>
      </w:r>
    </w:p>
    <w:p>
      <w:pPr>
        <w:spacing w:after="0" w:line="360" w:lineRule="auto"/>
        <w:ind w:left="720"/>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9.1.2. </w:t>
      </w:r>
      <w:r>
        <w:rPr>
          <w:rFonts w:ascii="Times New Roman" w:hAnsi="Times New Roman" w:cs="Times New Roman"/>
          <w:b/>
          <w:iCs/>
          <w:sz w:val="24"/>
          <w:szCs w:val="24"/>
          <w:lang w:val="bg-BG"/>
        </w:rPr>
        <w:t>Проверката на място</w:t>
      </w:r>
      <w:r>
        <w:rPr>
          <w:rFonts w:ascii="Times New Roman" w:hAnsi="Times New Roman" w:cs="Times New Roman"/>
          <w:iCs/>
          <w:sz w:val="24"/>
          <w:szCs w:val="24"/>
          <w:lang w:val="bg-BG"/>
        </w:rPr>
        <w:t xml:space="preserve"> на проекти включва наблюдаване на конкретна дейност и частични резултати по проекта; проучване мнението за проекта и дейностите. Осъществява се преглед на текущата документация и се оценява нейното състояние. Извършва се от служителите на ЦОИДУЕМ.</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Мониторинг на място ще се извършва за всеки проект. Резултатите от проведеното наблюдение се отразяват във формуляр за мониторинг, който съдържа: информация, свързана с общи данни за проекта; изпълнение на дейностите по проекта (състояние, индикатори, свързани с дейността, трудности в изпълнение на дейността, състояние на налична документация); наличие на рискове, които застрашават напредъка.</w:t>
      </w:r>
    </w:p>
    <w:p>
      <w:pPr>
        <w:spacing w:after="0" w:line="360" w:lineRule="auto"/>
        <w:jc w:val="both"/>
        <w:rPr>
          <w:rFonts w:ascii="Times New Roman" w:hAnsi="Times New Roman" w:cs="Times New Roman"/>
          <w:iCs/>
          <w:sz w:val="24"/>
          <w:szCs w:val="24"/>
          <w:lang w:val="bg-BG"/>
        </w:rPr>
      </w:pPr>
    </w:p>
    <w:p>
      <w:pPr>
        <w:spacing w:after="0" w:line="360" w:lineRule="auto"/>
        <w:jc w:val="both"/>
        <w:rPr>
          <w:rFonts w:ascii="Times New Roman" w:hAnsi="Times New Roman" w:cs="Times New Roman"/>
          <w:iCs/>
          <w:sz w:val="24"/>
          <w:szCs w:val="24"/>
          <w:lang w:val="bg-BG"/>
        </w:rPr>
      </w:pPr>
      <w:r>
        <w:rPr>
          <w:rFonts w:ascii="Times New Roman" w:hAnsi="Times New Roman" w:cs="Times New Roman"/>
          <w:b/>
          <w:iCs/>
          <w:sz w:val="24"/>
          <w:szCs w:val="24"/>
          <w:lang w:val="bg-BG"/>
        </w:rPr>
        <w:t>9.2. Оценка на изпълнените дейности</w:t>
      </w:r>
      <w:r>
        <w:rPr>
          <w:rFonts w:ascii="Times New Roman" w:hAnsi="Times New Roman" w:cs="Times New Roman"/>
          <w:iCs/>
          <w:sz w:val="24"/>
          <w:szCs w:val="24"/>
          <w:lang w:val="bg-BG"/>
        </w:rPr>
        <w:t>:</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Оценката ще се извършва от екипа на ЦОИДУЕМ чрез анализ на изготвени и предоставени от Бенефициентите технически и финансов отчет (по образец) и съответните съпътстващи документи: заповеди, договори, споразумения, протоколи, декларации, автобиографии, отчети, доклади, ведомости, платежни нареждания, сметки за изплатени суми, фактури, списъци, снимки и др.</w:t>
      </w:r>
    </w:p>
    <w:p>
      <w:pPr>
        <w:spacing w:after="0" w:line="360" w:lineRule="auto"/>
        <w:jc w:val="both"/>
        <w:rPr>
          <w:rFonts w:ascii="Times New Roman" w:hAnsi="Times New Roman" w:cs="Times New Roman"/>
          <w:iCs/>
          <w:sz w:val="24"/>
          <w:szCs w:val="24"/>
          <w:lang w:val="bg-BG"/>
        </w:rPr>
      </w:pPr>
    </w:p>
    <w:p>
      <w:pPr>
        <w:pStyle w:val="17"/>
        <w:numPr>
          <w:ilvl w:val="1"/>
          <w:numId w:val="1"/>
        </w:numPr>
        <w:spacing w:after="0" w:line="360" w:lineRule="auto"/>
        <w:ind w:left="0" w:firstLine="0"/>
        <w:jc w:val="both"/>
        <w:rPr>
          <w:rFonts w:ascii="Times New Roman" w:hAnsi="Times New Roman" w:cs="Times New Roman"/>
          <w:iCs/>
          <w:sz w:val="24"/>
          <w:szCs w:val="24"/>
          <w:lang w:val="bg-BG"/>
        </w:rPr>
      </w:pPr>
      <w:r>
        <w:rPr>
          <w:rFonts w:ascii="Times New Roman" w:hAnsi="Times New Roman" w:cs="Times New Roman"/>
          <w:b/>
          <w:iCs/>
          <w:sz w:val="24"/>
          <w:szCs w:val="24"/>
          <w:lang w:val="bg-BG"/>
        </w:rPr>
        <w:t xml:space="preserve">Оценка на популяризиране на резултатите и устойчивост </w:t>
      </w:r>
      <w:r>
        <w:rPr>
          <w:rFonts w:ascii="Times New Roman" w:hAnsi="Times New Roman" w:cs="Times New Roman"/>
          <w:iCs/>
          <w:sz w:val="24"/>
          <w:szCs w:val="24"/>
          <w:lang w:val="bg-BG"/>
        </w:rPr>
        <w:t>– техническият отчет, освен описание на изпълнени дейности и индикатори, ще включва устойчивост и мултиплициране на резултатите, идентифициране и анализ на добрите практики в хода на изпълнението на проектите по места, във вид и формат, който позволява тяхното популяризиране, основни изводи и препоръки.</w:t>
      </w:r>
    </w:p>
    <w:p>
      <w:pPr>
        <w:spacing w:after="0" w:line="360" w:lineRule="auto"/>
        <w:jc w:val="both"/>
        <w:rPr>
          <w:rFonts w:ascii="Times New Roman" w:hAnsi="Times New Roman" w:cs="Times New Roman"/>
          <w:iCs/>
          <w:sz w:val="24"/>
          <w:szCs w:val="24"/>
          <w:lang w:val="bg-BG"/>
        </w:rPr>
      </w:pPr>
    </w:p>
    <w:p>
      <w:pPr>
        <w:pStyle w:val="17"/>
        <w:numPr>
          <w:ilvl w:val="0"/>
          <w:numId w:val="1"/>
        </w:numPr>
        <w:tabs>
          <w:tab w:val="left" w:pos="270"/>
          <w:tab w:val="left" w:pos="360"/>
        </w:tabs>
        <w:spacing w:after="0" w:line="360" w:lineRule="auto"/>
        <w:ind w:left="0" w:firstLine="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pPr>
        <w:pStyle w:val="17"/>
        <w:spacing w:after="0" w:line="360" w:lineRule="auto"/>
        <w:ind w:left="0" w:firstLine="720"/>
        <w:jc w:val="both"/>
        <w:rPr>
          <w:rFonts w:ascii="Times New Roman" w:hAnsi="Times New Roman" w:cs="Times New Roman"/>
          <w:i/>
          <w:iCs/>
          <w:sz w:val="24"/>
          <w:szCs w:val="24"/>
          <w:lang w:val="bg-BG"/>
        </w:rPr>
      </w:pPr>
      <w:r>
        <w:rPr>
          <w:rFonts w:ascii="Times New Roman" w:hAnsi="Times New Roman" w:cs="Times New Roman"/>
          <w:i/>
          <w:iCs/>
          <w:sz w:val="24"/>
          <w:szCs w:val="24"/>
          <w:lang w:val="bg-BG"/>
        </w:rPr>
        <w:t>10.1.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pPr>
        <w:pStyle w:val="17"/>
        <w:spacing w:after="0" w:line="360" w:lineRule="auto"/>
        <w:ind w:left="0" w:firstLine="720"/>
        <w:jc w:val="both"/>
        <w:rPr>
          <w:rFonts w:ascii="Times New Roman" w:hAnsi="Times New Roman" w:cs="Times New Roman"/>
          <w:i/>
          <w:iCs/>
          <w:sz w:val="24"/>
          <w:szCs w:val="24"/>
          <w:lang w:val="bg-BG"/>
        </w:rPr>
      </w:pPr>
      <w:r>
        <w:rPr>
          <w:rFonts w:ascii="Times New Roman" w:hAnsi="Times New Roman" w:cs="Times New Roman"/>
          <w:i/>
          <w:iCs/>
          <w:sz w:val="24"/>
          <w:szCs w:val="24"/>
          <w:lang w:val="bg-BG"/>
        </w:rPr>
        <w:t>10.2. Декларацията по т. 10.1.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pPr>
        <w:pStyle w:val="17"/>
        <w:tabs>
          <w:tab w:val="left" w:pos="540"/>
        </w:tabs>
        <w:spacing w:after="0" w:line="360" w:lineRule="auto"/>
        <w:ind w:left="0"/>
        <w:jc w:val="both"/>
        <w:rPr>
          <w:rFonts w:ascii="Times New Roman" w:hAnsi="Times New Roman" w:cs="Times New Roman"/>
          <w:i/>
          <w:iCs/>
          <w:color w:val="2E75B6" w:themeColor="accent5" w:themeShade="BF"/>
          <w:sz w:val="24"/>
          <w:szCs w:val="24"/>
          <w:lang w:val="bg-BG"/>
        </w:rPr>
      </w:pPr>
    </w:p>
    <w:p>
      <w:pPr>
        <w:pStyle w:val="17"/>
        <w:numPr>
          <w:ilvl w:val="0"/>
          <w:numId w:val="1"/>
        </w:numPr>
        <w:spacing w:after="0" w:line="36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ДОПУСТИМИ ДЕЙНОСТИ  И СРОК НА ИЗПЪЛНЕНИЕ</w:t>
      </w:r>
    </w:p>
    <w:p>
      <w:pPr>
        <w:pStyle w:val="17"/>
        <w:spacing w:after="0" w:line="360" w:lineRule="auto"/>
        <w:ind w:left="0"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Дейностите, които ще се финансират</w:t>
      </w:r>
      <w:r>
        <w:rPr>
          <w:rFonts w:hint="default" w:ascii="Times New Roman" w:hAnsi="Times New Roman" w:cs="Times New Roman"/>
          <w:iCs/>
          <w:sz w:val="24"/>
          <w:szCs w:val="24"/>
          <w:lang w:val="bg-BG"/>
        </w:rPr>
        <w:t>,</w:t>
      </w:r>
      <w:r>
        <w:rPr>
          <w:rFonts w:ascii="Times New Roman" w:hAnsi="Times New Roman" w:cs="Times New Roman"/>
          <w:iCs/>
          <w:sz w:val="24"/>
          <w:szCs w:val="24"/>
          <w:lang w:val="bg-BG"/>
        </w:rPr>
        <w:t xml:space="preserve"> трябва да се реализират в рамките на учебната 2024/2025 година.</w:t>
      </w:r>
    </w:p>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b/>
          <w:iCs/>
          <w:sz w:val="24"/>
          <w:szCs w:val="24"/>
          <w:lang w:val="bg-BG"/>
        </w:rPr>
        <w:t>11.1. Осигуряване на безплатен транспорт</w:t>
      </w:r>
      <w:r>
        <w:rPr>
          <w:rFonts w:ascii="Times New Roman" w:hAnsi="Times New Roman" w:cs="Times New Roman"/>
          <w:iCs/>
          <w:sz w:val="24"/>
          <w:szCs w:val="24"/>
          <w:lang w:val="bg-BG"/>
        </w:rPr>
        <w:t xml:space="preserve"> в рамките на населеното място за деца в задължително предучилищно образование и за ученици, посещаващи сегрегирани образователни институции с цел достъп до образование в несегрегирани приемни образователни институции, както и за деца и ученици, живеещи в отдалечени райони, но посещаващи несегрегирани образователни институции.</w:t>
      </w:r>
    </w:p>
    <w:p>
      <w:pPr>
        <w:pStyle w:val="17"/>
        <w:spacing w:after="0" w:line="360" w:lineRule="auto"/>
        <w:jc w:val="both"/>
        <w:rPr>
          <w:rFonts w:hint="default" w:ascii="Times New Roman" w:hAnsi="Times New Roman" w:cs="Times New Roman"/>
          <w:iCs/>
          <w:sz w:val="24"/>
          <w:szCs w:val="24"/>
          <w:lang w:val="bg-BG"/>
        </w:rPr>
      </w:pPr>
      <w:r>
        <w:rPr>
          <w:rFonts w:ascii="Times New Roman" w:hAnsi="Times New Roman" w:cs="Times New Roman"/>
          <w:b/>
          <w:iCs/>
          <w:sz w:val="24"/>
          <w:szCs w:val="24"/>
          <w:lang w:val="bg-BG"/>
        </w:rPr>
        <w:t>11.1.1. Организиране на превози за собствена сметка</w:t>
      </w:r>
      <w:r>
        <w:rPr>
          <w:rFonts w:hint="default" w:ascii="Times New Roman" w:hAnsi="Times New Roman" w:cs="Times New Roman"/>
          <w:b/>
          <w:iCs/>
          <w:sz w:val="24"/>
          <w:szCs w:val="24"/>
          <w:lang w:val="bg-BG"/>
        </w:rPr>
        <w:t>.</w:t>
      </w:r>
    </w:p>
    <w:p>
      <w:pPr>
        <w:pStyle w:val="17"/>
        <w:spacing w:after="0" w:line="360" w:lineRule="auto"/>
        <w:jc w:val="both"/>
        <w:rPr>
          <w:rFonts w:hint="default" w:ascii="Times New Roman" w:hAnsi="Times New Roman" w:cs="Times New Roman"/>
          <w:iCs/>
          <w:sz w:val="24"/>
          <w:szCs w:val="24"/>
          <w:lang w:val="bg-BG"/>
        </w:rPr>
      </w:pPr>
      <w:r>
        <w:rPr>
          <w:rFonts w:ascii="Times New Roman" w:hAnsi="Times New Roman" w:cs="Times New Roman"/>
          <w:b/>
          <w:iCs/>
          <w:sz w:val="24"/>
          <w:szCs w:val="24"/>
          <w:lang w:val="bg-BG"/>
        </w:rPr>
        <w:t>11.1.2. Сключване на договор за специализиран превоз с автомобилен транспорт</w:t>
      </w:r>
      <w:r>
        <w:rPr>
          <w:rFonts w:hint="default" w:ascii="Times New Roman" w:hAnsi="Times New Roman" w:cs="Times New Roman"/>
          <w:b/>
          <w:iCs/>
          <w:sz w:val="24"/>
          <w:szCs w:val="24"/>
          <w:lang w:val="bg-BG"/>
        </w:rPr>
        <w:t>.</w:t>
      </w:r>
    </w:p>
    <w:p>
      <w:pPr>
        <w:pStyle w:val="17"/>
        <w:spacing w:after="0" w:line="360" w:lineRule="auto"/>
        <w:jc w:val="both"/>
        <w:rPr>
          <w:rFonts w:ascii="Times New Roman" w:hAnsi="Times New Roman" w:cs="Times New Roman"/>
          <w:iCs/>
          <w:sz w:val="24"/>
          <w:szCs w:val="24"/>
          <w:lang w:val="bg-BG"/>
        </w:rPr>
      </w:pPr>
      <w:r>
        <w:rPr>
          <w:rFonts w:ascii="Times New Roman" w:hAnsi="Times New Roman" w:cs="Times New Roman"/>
          <w:b/>
          <w:iCs/>
          <w:sz w:val="24"/>
          <w:szCs w:val="24"/>
          <w:lang w:val="bg-BG"/>
        </w:rPr>
        <w:t>11.1.3. Превоз по автобусни линии по утвърдена транспортна схема</w:t>
      </w:r>
      <w:r>
        <w:rPr>
          <w:rFonts w:ascii="Times New Roman" w:hAnsi="Times New Roman" w:cs="Times New Roman"/>
          <w:iCs/>
          <w:sz w:val="24"/>
          <w:szCs w:val="24"/>
          <w:lang w:val="bg-BG"/>
        </w:rPr>
        <w:t>.</w:t>
      </w:r>
    </w:p>
    <w:p>
      <w:pPr>
        <w:pStyle w:val="17"/>
        <w:spacing w:after="0" w:line="360" w:lineRule="auto"/>
        <w:jc w:val="both"/>
        <w:rPr>
          <w:rFonts w:ascii="Times New Roman" w:hAnsi="Times New Roman" w:cs="Times New Roman"/>
          <w:iCs/>
          <w:sz w:val="24"/>
          <w:szCs w:val="24"/>
          <w:lang w:val="bg-BG"/>
        </w:rPr>
      </w:pPr>
    </w:p>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b/>
          <w:iCs/>
          <w:sz w:val="24"/>
          <w:szCs w:val="24"/>
          <w:lang w:val="bg-BG"/>
        </w:rPr>
        <w:t>11.2. Осигуряване на учебни пособия и материали</w:t>
      </w:r>
      <w:r>
        <w:rPr>
          <w:rFonts w:ascii="Times New Roman" w:hAnsi="Times New Roman" w:cs="Times New Roman"/>
          <w:iCs/>
          <w:sz w:val="24"/>
          <w:szCs w:val="24"/>
          <w:lang w:val="bg-BG"/>
        </w:rPr>
        <w:t xml:space="preserve"> за децата в задължително предучилищно образование и за ученици до VII клас, включени в процеса на образователна десегрегация и превенция за недопускане на вторична сегрегация.</w:t>
      </w:r>
    </w:p>
    <w:p>
      <w:pPr>
        <w:pStyle w:val="17"/>
        <w:spacing w:after="0" w:line="360" w:lineRule="auto"/>
        <w:ind w:left="0"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Дейността се осъществява чрез предоставяне на подкрепа на деца и ученици от уязвими групи, участващи в дейности за образователна десегрегация и превенция за недопускане на вторична сегрегация след доказана необходимост, установена по критерии, изработени от съответната община, и изготвен списък и в зависимост от възрастта на децата и учениците.</w:t>
      </w:r>
    </w:p>
    <w:p>
      <w:pPr>
        <w:pStyle w:val="17"/>
        <w:spacing w:after="0" w:line="360" w:lineRule="auto"/>
        <w:ind w:left="0" w:firstLine="720"/>
        <w:jc w:val="both"/>
        <w:rPr>
          <w:rFonts w:ascii="Times New Roman" w:hAnsi="Times New Roman" w:cs="Times New Roman"/>
          <w:iCs/>
          <w:sz w:val="24"/>
          <w:szCs w:val="24"/>
          <w:lang w:val="bg-BG"/>
        </w:rPr>
      </w:pPr>
    </w:p>
    <w:p>
      <w:pPr>
        <w:pStyle w:val="17"/>
        <w:numPr>
          <w:ilvl w:val="1"/>
          <w:numId w:val="1"/>
        </w:numPr>
        <w:spacing w:after="0" w:line="360" w:lineRule="auto"/>
        <w:ind w:left="0" w:firstLine="0"/>
        <w:jc w:val="both"/>
        <w:rPr>
          <w:rFonts w:ascii="Times New Roman" w:hAnsi="Times New Roman" w:cs="Times New Roman"/>
          <w:iCs/>
          <w:sz w:val="24"/>
          <w:szCs w:val="24"/>
          <w:lang w:val="bg-BG"/>
        </w:rPr>
      </w:pPr>
      <w:r>
        <w:rPr>
          <w:rFonts w:ascii="Times New Roman" w:hAnsi="Times New Roman" w:cs="Times New Roman"/>
          <w:b/>
          <w:iCs/>
          <w:sz w:val="24"/>
          <w:szCs w:val="24"/>
          <w:lang w:val="bg-BG"/>
        </w:rPr>
        <w:t xml:space="preserve"> Дейности за информиране, мотивиране и подготовка на децата и учениците за съвместното образователно развитие в приемните образователни институции</w:t>
      </w:r>
      <w:r>
        <w:rPr>
          <w:rFonts w:hint="default" w:ascii="Times New Roman" w:hAnsi="Times New Roman" w:cs="Times New Roman"/>
          <w:b/>
          <w:iCs/>
          <w:sz w:val="24"/>
          <w:szCs w:val="24"/>
          <w:lang w:val="bg-BG"/>
        </w:rPr>
        <w:t>:</w:t>
      </w:r>
    </w:p>
    <w:p>
      <w:pPr>
        <w:pStyle w:val="17"/>
        <w:numPr>
          <w:ilvl w:val="2"/>
          <w:numId w:val="1"/>
        </w:numPr>
        <w:spacing w:after="0" w:line="360" w:lineRule="auto"/>
        <w:ind w:firstLine="0"/>
        <w:jc w:val="both"/>
        <w:rPr>
          <w:rFonts w:ascii="Times New Roman" w:hAnsi="Times New Roman" w:cs="Times New Roman"/>
          <w:iCs/>
          <w:sz w:val="24"/>
          <w:szCs w:val="24"/>
          <w:lang w:val="bg-BG"/>
        </w:rPr>
      </w:pPr>
      <w:r>
        <w:rPr>
          <w:rFonts w:ascii="Times New Roman" w:hAnsi="Times New Roman" w:cs="Times New Roman"/>
          <w:b/>
          <w:iCs/>
          <w:sz w:val="24"/>
          <w:szCs w:val="24"/>
          <w:lang w:val="bg-BG"/>
        </w:rPr>
        <w:t>Назначаване на непедагогически персонал към общините</w:t>
      </w:r>
      <w:r>
        <w:rPr>
          <w:rFonts w:ascii="Times New Roman" w:hAnsi="Times New Roman" w:cs="Times New Roman"/>
          <w:iCs/>
          <w:sz w:val="24"/>
          <w:szCs w:val="24"/>
          <w:lang w:val="bg-BG"/>
        </w:rPr>
        <w:t xml:space="preserve"> (образователни медиатори, помощници на учителя, социални работници в образованието)</w:t>
      </w:r>
      <w:r>
        <w:rPr>
          <w:rStyle w:val="9"/>
          <w:rFonts w:ascii="Times New Roman" w:hAnsi="Times New Roman" w:cs="Times New Roman"/>
          <w:iCs/>
          <w:sz w:val="24"/>
          <w:szCs w:val="24"/>
          <w:lang w:val="bg-BG"/>
        </w:rPr>
        <w:footnoteReference w:id="2"/>
      </w:r>
      <w:r>
        <w:rPr>
          <w:rFonts w:ascii="Times New Roman" w:hAnsi="Times New Roman" w:cs="Times New Roman"/>
          <w:iCs/>
          <w:sz w:val="24"/>
          <w:szCs w:val="24"/>
          <w:lang w:val="bg-BG"/>
        </w:rPr>
        <w:t>, които да участват в изпълнение на общинската политика за образователна десегрегация и превенция за недопускане на вторична сегрегация, както и в дейностите по превенция и предотвратяване на негативни явления като насилие, дискриминационни прояви и тормоз в приемните образователни институции.</w:t>
      </w:r>
    </w:p>
    <w:p>
      <w:pPr>
        <w:pStyle w:val="17"/>
        <w:numPr>
          <w:ilvl w:val="2"/>
          <w:numId w:val="1"/>
        </w:numPr>
        <w:spacing w:after="0" w:line="360" w:lineRule="auto"/>
        <w:ind w:firstLine="0"/>
        <w:jc w:val="both"/>
        <w:rPr>
          <w:rFonts w:ascii="Times New Roman" w:hAnsi="Times New Roman" w:cs="Times New Roman"/>
          <w:iCs/>
          <w:sz w:val="24"/>
          <w:szCs w:val="24"/>
          <w:lang w:val="bg-BG"/>
        </w:rPr>
      </w:pPr>
      <w:r>
        <w:rPr>
          <w:rFonts w:ascii="Times New Roman" w:hAnsi="Times New Roman" w:cs="Times New Roman"/>
          <w:b/>
          <w:iCs/>
          <w:sz w:val="24"/>
          <w:szCs w:val="24"/>
          <w:lang w:val="bg-BG"/>
        </w:rPr>
        <w:t>Дейностите за информиране, мотивиране и подготовка на децата и учениците за съвместното образователно развитие</w:t>
      </w:r>
      <w:r>
        <w:rPr>
          <w:rFonts w:ascii="Times New Roman" w:hAnsi="Times New Roman" w:cs="Times New Roman"/>
          <w:iCs/>
          <w:sz w:val="24"/>
          <w:szCs w:val="24"/>
          <w:lang w:val="bg-BG"/>
        </w:rPr>
        <w:t xml:space="preserve"> се планират и реализират съвместно от учителите, директорите и другите педагогически специалисти и непедагогическия персонал в приемните образователни институции.</w:t>
      </w:r>
    </w:p>
    <w:p>
      <w:pPr>
        <w:pStyle w:val="17"/>
        <w:spacing w:after="0" w:line="360" w:lineRule="auto"/>
        <w:jc w:val="both"/>
        <w:rPr>
          <w:rFonts w:ascii="Times New Roman" w:hAnsi="Times New Roman" w:cs="Times New Roman"/>
          <w:iCs/>
          <w:sz w:val="24"/>
          <w:szCs w:val="24"/>
          <w:lang w:val="bg-BG"/>
        </w:rPr>
      </w:pPr>
    </w:p>
    <w:p>
      <w:pPr>
        <w:pStyle w:val="17"/>
        <w:numPr>
          <w:ilvl w:val="1"/>
          <w:numId w:val="1"/>
        </w:numPr>
        <w:spacing w:after="0" w:line="360" w:lineRule="auto"/>
        <w:ind w:left="0" w:firstLine="0"/>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 </w:t>
      </w:r>
      <w:r>
        <w:rPr>
          <w:rFonts w:ascii="Times New Roman" w:hAnsi="Times New Roman" w:cs="Times New Roman"/>
          <w:b/>
          <w:iCs/>
          <w:sz w:val="24"/>
          <w:szCs w:val="24"/>
          <w:lang w:val="bg-BG"/>
        </w:rPr>
        <w:t>Дейности за психолого-педагогическо и социално-комуникативно приобщаване на всички родители</w:t>
      </w:r>
      <w:r>
        <w:rPr>
          <w:rFonts w:ascii="Times New Roman" w:hAnsi="Times New Roman" w:cs="Times New Roman"/>
          <w:iCs/>
          <w:sz w:val="24"/>
          <w:szCs w:val="24"/>
          <w:lang w:val="bg-BG"/>
        </w:rPr>
        <w:t xml:space="preserve"> за изграждане на образователна и обществена среда, осигуряваща ефективен процес на десегрегация и превенция за недопускане на вторична сегрегация.</w:t>
      </w:r>
    </w:p>
    <w:p>
      <w:pPr>
        <w:pStyle w:val="17"/>
        <w:spacing w:after="0" w:line="360" w:lineRule="auto"/>
        <w:ind w:left="0"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Дейностите се планират, финансират и реализират от общината в приемните образователни институции с участието на учителите, директорите и другите педагогически специалисти и непедагогическия персонал (образователните медиатори, помощниците на учителя и социалните работници в образованието). Задължително е участието на родителите на децата и учениците, включени в процеса на образователна десегрегация и превенция на недопускане на вторична сегрегация, както и на родители от приемната образователна институция.</w:t>
      </w:r>
    </w:p>
    <w:p>
      <w:pPr>
        <w:pStyle w:val="17"/>
        <w:spacing w:after="0" w:line="360" w:lineRule="auto"/>
        <w:ind w:left="0" w:firstLine="720"/>
        <w:jc w:val="both"/>
        <w:rPr>
          <w:rFonts w:ascii="Times New Roman" w:hAnsi="Times New Roman" w:cs="Times New Roman"/>
          <w:iCs/>
          <w:sz w:val="24"/>
          <w:szCs w:val="24"/>
          <w:lang w:val="bg-BG"/>
        </w:rPr>
      </w:pPr>
    </w:p>
    <w:p>
      <w:pPr>
        <w:pStyle w:val="17"/>
        <w:numPr>
          <w:ilvl w:val="1"/>
          <w:numId w:val="1"/>
        </w:numPr>
        <w:spacing w:after="0" w:line="360" w:lineRule="auto"/>
        <w:ind w:left="0" w:firstLine="0"/>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 </w:t>
      </w:r>
      <w:r>
        <w:rPr>
          <w:rFonts w:ascii="Times New Roman" w:hAnsi="Times New Roman" w:cs="Times New Roman"/>
          <w:b/>
          <w:iCs/>
          <w:sz w:val="24"/>
          <w:szCs w:val="24"/>
          <w:lang w:val="bg-BG"/>
        </w:rPr>
        <w:t>Дейности (групова или индивидуална форма) с деца в задължително предучилищно образование и с ученици, включени в процеса на десегрегация, за продължаване на образованието им в приемните образователни институции</w:t>
      </w:r>
      <w:r>
        <w:rPr>
          <w:rFonts w:ascii="Times New Roman" w:hAnsi="Times New Roman" w:cs="Times New Roman"/>
          <w:iCs/>
          <w:sz w:val="24"/>
          <w:szCs w:val="24"/>
          <w:lang w:val="bg-BG"/>
        </w:rPr>
        <w:t>.</w:t>
      </w:r>
    </w:p>
    <w:p>
      <w:pPr>
        <w:pStyle w:val="17"/>
        <w:spacing w:after="0" w:line="360" w:lineRule="auto"/>
        <w:ind w:left="0"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Дейностите се реализират от учителите, директорите и другите педагогически специалисти в приемните образователни институции.</w:t>
      </w:r>
    </w:p>
    <w:p>
      <w:pPr>
        <w:pStyle w:val="17"/>
        <w:spacing w:after="0" w:line="360" w:lineRule="auto"/>
        <w:ind w:left="0"/>
        <w:jc w:val="both"/>
        <w:rPr>
          <w:rFonts w:ascii="Times New Roman" w:hAnsi="Times New Roman" w:cs="Times New Roman"/>
          <w:iCs/>
          <w:sz w:val="24"/>
          <w:szCs w:val="24"/>
          <w:lang w:val="bg-BG"/>
        </w:rPr>
      </w:pPr>
    </w:p>
    <w:p>
      <w:pPr>
        <w:pStyle w:val="17"/>
        <w:numPr>
          <w:ilvl w:val="0"/>
          <w:numId w:val="1"/>
        </w:num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ДОПУСТИМИ РАЗХОДИ И ЕТАПИ НА ФИНАНСИРАНЕ</w:t>
      </w:r>
    </w:p>
    <w:p>
      <w:pPr>
        <w:pStyle w:val="17"/>
        <w:spacing w:after="0" w:line="360" w:lineRule="auto"/>
        <w:ind w:left="0"/>
        <w:jc w:val="both"/>
        <w:rPr>
          <w:rFonts w:ascii="Times New Roman" w:hAnsi="Times New Roman" w:cs="Times New Roman"/>
          <w:iCs/>
          <w:sz w:val="24"/>
          <w:szCs w:val="24"/>
          <w:lang w:val="bg-BG"/>
        </w:rPr>
      </w:pPr>
      <w:r>
        <w:rPr>
          <w:rFonts w:ascii="Times New Roman" w:hAnsi="Times New Roman" w:cs="Times New Roman"/>
          <w:b/>
          <w:iCs/>
          <w:sz w:val="24"/>
          <w:szCs w:val="24"/>
          <w:lang w:val="bg-BG"/>
        </w:rPr>
        <w:t>12.1. Финансиране на дейностите от програмата</w:t>
      </w:r>
      <w:r>
        <w:rPr>
          <w:rFonts w:ascii="Times New Roman" w:hAnsi="Times New Roman" w:cs="Times New Roman"/>
          <w:iCs/>
          <w:sz w:val="24"/>
          <w:szCs w:val="24"/>
          <w:lang w:val="bg-BG"/>
        </w:rPr>
        <w:t>:</w:t>
      </w:r>
    </w:p>
    <w:p>
      <w:pPr>
        <w:pStyle w:val="17"/>
        <w:spacing w:after="0" w:line="360" w:lineRule="auto"/>
        <w:ind w:left="0" w:firstLine="720"/>
        <w:jc w:val="both"/>
        <w:rPr>
          <w:rFonts w:ascii="Times New Roman" w:hAnsi="Times New Roman" w:cs="Times New Roman"/>
          <w:b/>
          <w:iCs/>
          <w:sz w:val="24"/>
          <w:szCs w:val="24"/>
          <w:lang w:val="bg-BG"/>
        </w:rPr>
      </w:pPr>
      <w:r>
        <w:rPr>
          <w:rFonts w:ascii="Times New Roman" w:hAnsi="Times New Roman" w:cs="Times New Roman"/>
          <w:b/>
          <w:iCs/>
          <w:sz w:val="24"/>
          <w:szCs w:val="24"/>
          <w:lang w:val="bg-BG"/>
        </w:rPr>
        <w:t>Националната програма финансира само дейности 11.1., 11.2. и 11.3.1.</w:t>
      </w:r>
    </w:p>
    <w:p>
      <w:pPr>
        <w:pStyle w:val="17"/>
        <w:spacing w:after="0" w:line="360" w:lineRule="auto"/>
        <w:ind w:left="0"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Финансиране по дейност 11.1. </w:t>
      </w:r>
      <w:r>
        <w:rPr>
          <w:rFonts w:ascii="Times New Roman" w:hAnsi="Times New Roman" w:cs="Times New Roman"/>
          <w:i/>
          <w:iCs/>
          <w:sz w:val="24"/>
          <w:szCs w:val="24"/>
          <w:lang w:val="bg-BG"/>
        </w:rPr>
        <w:t>Осигуряване на безплатен транспорт в рамките на населеното място за деца в задължително предучилищно образование и за ученици, посещаващи сегрегирани образователни институции, както и за деца и ученици, живеещи в отдалечени райони, но посещаващи несегрегирани образователни институции</w:t>
      </w:r>
      <w:r>
        <w:rPr>
          <w:rFonts w:ascii="Times New Roman" w:hAnsi="Times New Roman" w:cs="Times New Roman"/>
          <w:iCs/>
          <w:sz w:val="24"/>
          <w:szCs w:val="24"/>
          <w:lang w:val="bg-BG"/>
        </w:rPr>
        <w:t>:</w:t>
      </w:r>
    </w:p>
    <w:p>
      <w:pPr>
        <w:pStyle w:val="17"/>
        <w:spacing w:after="0" w:line="360" w:lineRule="auto"/>
        <w:ind w:left="0" w:firstLine="720"/>
        <w:jc w:val="both"/>
        <w:rPr>
          <w:rFonts w:ascii="Times New Roman" w:hAnsi="Times New Roman" w:cs="Times New Roman"/>
          <w:iCs/>
          <w:sz w:val="24"/>
          <w:szCs w:val="24"/>
          <w:lang w:val="bg-BG"/>
        </w:rPr>
      </w:pPr>
    </w:p>
    <w:p>
      <w:pPr>
        <w:spacing w:after="0" w:line="360" w:lineRule="auto"/>
        <w:ind w:left="720"/>
        <w:jc w:val="both"/>
        <w:rPr>
          <w:rFonts w:ascii="Times New Roman" w:hAnsi="Times New Roman" w:cs="Times New Roman"/>
          <w:iCs/>
          <w:sz w:val="24"/>
          <w:szCs w:val="24"/>
          <w:u w:val="single"/>
          <w:lang w:val="bg-BG"/>
        </w:rPr>
      </w:pPr>
      <w:r>
        <w:rPr>
          <w:rFonts w:ascii="Times New Roman" w:hAnsi="Times New Roman" w:cs="Times New Roman"/>
          <w:iCs/>
          <w:sz w:val="24"/>
          <w:szCs w:val="24"/>
          <w:u w:val="single"/>
          <w:lang w:val="bg-BG"/>
        </w:rPr>
        <w:t>12.1.1 Организиране на превози за собствена сметка</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Извършват се въз основа на заповед на кмета на общината, съответно на директора на училището или на детската градина, а отчитането на разходите се осъществява въз основа на разходооправдателни документи за всички преки разходи, свързани с осигуряване на превозите, като горива, гориво-смазочни материали и други консумативи, трудови възнаграждения, технически преглед, задължителна застраховка гражданска отговорност, поддръжка и ремонт на превозни средства и други разходи</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Максимален размер на средствата за компенсиране на безплатния транспорт чрез превоз за собствена сметка:</w:t>
      </w:r>
    </w:p>
    <w:p>
      <w:pPr>
        <w:pStyle w:val="17"/>
        <w:numPr>
          <w:ilvl w:val="0"/>
          <w:numId w:val="6"/>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с автомобили до 22 места - до 1,14 лв./км от общия пробег и допълващ стандарт за издръжка на МПС в размер на 5 247 лв.;</w:t>
      </w:r>
    </w:p>
    <w:p>
      <w:pPr>
        <w:pStyle w:val="17"/>
        <w:numPr>
          <w:ilvl w:val="0"/>
          <w:numId w:val="6"/>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с автомобили над 22 места - до 1,65 лв./км от общия пробег и допълващ стандарт за издръжка на МПС в размер на 7 870 лв.</w:t>
      </w:r>
    </w:p>
    <w:p>
      <w:pPr>
        <w:spacing w:after="0" w:line="360" w:lineRule="auto"/>
        <w:ind w:left="720"/>
        <w:jc w:val="both"/>
        <w:rPr>
          <w:rFonts w:ascii="Times New Roman" w:hAnsi="Times New Roman" w:cs="Times New Roman"/>
          <w:iCs/>
          <w:sz w:val="24"/>
          <w:szCs w:val="24"/>
          <w:u w:val="single"/>
          <w:lang w:val="bg-BG"/>
        </w:rPr>
      </w:pPr>
      <w:r>
        <w:rPr>
          <w:rFonts w:ascii="Times New Roman" w:hAnsi="Times New Roman" w:cs="Times New Roman"/>
          <w:iCs/>
          <w:sz w:val="24"/>
          <w:szCs w:val="24"/>
          <w:u w:val="single"/>
          <w:lang w:val="bg-BG"/>
        </w:rPr>
        <w:t>12.1.2. Сключване на договор за специализиран превоз с автомобилен транспорт</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Договорите се сключват при спазване на реда за възлагане на обществени поръчки или на концесии - осъществяват се в рамките на учебния план на съответните институции при спазване изискванията на Закона за автомобилните превози и другите относими нормативни актове. Сключва се договор за специализиран превоз, в който задължително се регламентират изчерпателно и по прозрачен начин обхватът на превозната услуга, маршрутното разписание и задълженията за извършване на обществената услуга, показателите, които се вземат предвид за предотвратяване на свръхкомпенсиране, с конкретни икономически параметри, въз основа на които се изчислява размерът на компенсацията с отчитане на нетния финансов ефект, механизмите за разпределение на разходите, пряко свързани с предоставяне на услугата, които могат да включват разходи за персонал, енергия, инфраструктурни такси, поддръжка и ремонт на превозни средства за обществения транспорт, подвижен състав и инсталации, необходими за извършване на услугата, както и на частта от непреките разходи, свързани с предоставянето на услугата.</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Максимален размер на средствата за компенсиране на безплатния транспорт чрез специализиран превоз с автомобилен транспорт:</w:t>
      </w:r>
    </w:p>
    <w:p>
      <w:pPr>
        <w:pStyle w:val="17"/>
        <w:numPr>
          <w:ilvl w:val="0"/>
          <w:numId w:val="7"/>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с автомобили до 22 места - до 1,52 лв./км от общия пробег;</w:t>
      </w:r>
    </w:p>
    <w:p>
      <w:pPr>
        <w:pStyle w:val="17"/>
        <w:numPr>
          <w:ilvl w:val="0"/>
          <w:numId w:val="7"/>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с автомобили над 22 места - до 2,28 лв./км от общия пробег.</w:t>
      </w:r>
    </w:p>
    <w:p>
      <w:pPr>
        <w:spacing w:after="0" w:line="360" w:lineRule="auto"/>
        <w:ind w:left="720"/>
        <w:jc w:val="both"/>
        <w:rPr>
          <w:rFonts w:ascii="Times New Roman" w:hAnsi="Times New Roman" w:cs="Times New Roman"/>
          <w:iCs/>
          <w:sz w:val="24"/>
          <w:szCs w:val="24"/>
          <w:u w:val="single"/>
          <w:lang w:val="bg-BG"/>
        </w:rPr>
      </w:pPr>
      <w:r>
        <w:rPr>
          <w:rFonts w:ascii="Times New Roman" w:hAnsi="Times New Roman" w:cs="Times New Roman"/>
          <w:iCs/>
          <w:sz w:val="24"/>
          <w:szCs w:val="24"/>
          <w:u w:val="single"/>
          <w:lang w:val="bg-BG"/>
        </w:rPr>
        <w:t>12.1.3. Превоз по автобусни линии по утвърдена транспортна схема</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Уреждат се с договор за възлагане на обществен превоз, сключен по реда на Регламент № 1370/2007, като превозвачът по заявка на възложителя снабдява учащите се безплатно с превозен документ (абонаментна карта или билет) за съответния маршрут и ежемесечно фактурира стойността на услугата при условията на сключения договор.</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Максимален размер на средствата за компенсиране на безплатния транспорт чрез превоз по автобусни линии по утвърдена транспортна схема:</w:t>
      </w:r>
    </w:p>
    <w:p>
      <w:pPr>
        <w:pStyle w:val="17"/>
        <w:numPr>
          <w:ilvl w:val="0"/>
          <w:numId w:val="8"/>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с месечна абонаментна карта - до 3,30 лв./км от дължината на маршрута (еднопосочно);</w:t>
      </w:r>
    </w:p>
    <w:p>
      <w:pPr>
        <w:pStyle w:val="17"/>
        <w:numPr>
          <w:ilvl w:val="0"/>
          <w:numId w:val="8"/>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с билет за единично пътуване - до 0,13 лв./км.</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Финансиране по дейност 11.2. </w:t>
      </w:r>
      <w:r>
        <w:rPr>
          <w:rFonts w:ascii="Times New Roman" w:hAnsi="Times New Roman" w:cs="Times New Roman"/>
          <w:i/>
          <w:iCs/>
          <w:sz w:val="24"/>
          <w:szCs w:val="24"/>
          <w:lang w:val="bg-BG"/>
        </w:rPr>
        <w:t>Осигуряване на учебни пособия и материали за децата в задължително предучилищно образование и за ученици до VII клас, включени в процеса на образователна десегрегация и превенция за недопускане на вторична сегрегация</w:t>
      </w:r>
      <w:r>
        <w:rPr>
          <w:rFonts w:ascii="Times New Roman" w:hAnsi="Times New Roman" w:cs="Times New Roman"/>
          <w:iCs/>
          <w:sz w:val="24"/>
          <w:szCs w:val="24"/>
          <w:lang w:val="bg-BG"/>
        </w:rPr>
        <w:t>:</w:t>
      </w:r>
    </w:p>
    <w:p>
      <w:pPr>
        <w:pStyle w:val="17"/>
        <w:numPr>
          <w:ilvl w:val="0"/>
          <w:numId w:val="9"/>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за деца в задължително предучилищно образование – максимална стойност на пакет учебни пособия и материали до 50 лв.;</w:t>
      </w:r>
    </w:p>
    <w:p>
      <w:pPr>
        <w:pStyle w:val="17"/>
        <w:numPr>
          <w:ilvl w:val="0"/>
          <w:numId w:val="9"/>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за ученици в начален етап – максимална стойност на пакет учебни пособия и материали до 70 лв.;</w:t>
      </w:r>
    </w:p>
    <w:p>
      <w:pPr>
        <w:pStyle w:val="17"/>
        <w:numPr>
          <w:ilvl w:val="0"/>
          <w:numId w:val="9"/>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за ученици в прогимназиален етап до VII клас – максимална стойност на пакет учебни пособия и материали до 120 лв.</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Върху осигурените и предоставени учебни пособия и материали задължително се поставя стикер или надпис „Осигурено по Национална програма на МОН „Подпомагане на общините за образователна десегрегация“.</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Финансиране по дейност 11.3.1. </w:t>
      </w:r>
      <w:r>
        <w:rPr>
          <w:rFonts w:ascii="Times New Roman" w:hAnsi="Times New Roman" w:cs="Times New Roman"/>
          <w:i/>
          <w:iCs/>
          <w:sz w:val="24"/>
          <w:szCs w:val="24"/>
          <w:lang w:val="bg-BG"/>
        </w:rPr>
        <w:t>Назначаване на непедагогически персонал към общините (образователни медиатори, помощници на учителя, социални работници в образованието)</w:t>
      </w:r>
      <w:r>
        <w:rPr>
          <w:rFonts w:ascii="Times New Roman" w:hAnsi="Times New Roman" w:cs="Times New Roman"/>
          <w:iCs/>
          <w:sz w:val="24"/>
          <w:szCs w:val="24"/>
          <w:lang w:val="bg-BG"/>
        </w:rPr>
        <w:t>:</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Програмата финансира назначаване на непедагогически персонал към общините (образователни медиатори, помощници на учителя, социални работници в образованието), чиято работа е насочена към децата и учениците в определените за приемни образователни институции. Включването и участието им в процеса на образователна десегрегация и превенцията за недопускане на вторична сегрегация са задължителни. Дейност 11.3.1 може да бъде осигурена и чрез дейността на вече назначени по други програми и проекти непедагогически персонал (образователни медиатори, помощници на учителя, социални работници в образованието) в приемните образователни институции или общината, но в този случай съответните възнаграждения не се финансират от програмата и не се зачитат като финансов принос. При назначаване на непедагогически персонал (образователни медиатори, помощници на учителя, социални работници в образованието) за целите на проекта и със средства, осигурени от общината, възнагражденията се считат за съфинансиране от кандидата.</w:t>
      </w:r>
    </w:p>
    <w:p>
      <w:pPr>
        <w:spacing w:after="0" w:line="360" w:lineRule="auto"/>
        <w:ind w:firstLine="720"/>
        <w:jc w:val="both"/>
        <w:rPr>
          <w:rFonts w:ascii="Times New Roman" w:hAnsi="Times New Roman" w:cs="Times New Roman"/>
          <w:iCs/>
          <w:sz w:val="24"/>
          <w:szCs w:val="24"/>
          <w:lang w:val="bg-BG"/>
        </w:rPr>
      </w:pPr>
    </w:p>
    <w:p>
      <w:pPr>
        <w:spacing w:after="0" w:line="360" w:lineRule="auto"/>
        <w:jc w:val="both"/>
        <w:rPr>
          <w:rFonts w:ascii="Times New Roman" w:hAnsi="Times New Roman" w:cs="Times New Roman"/>
          <w:iCs/>
          <w:sz w:val="24"/>
          <w:szCs w:val="24"/>
          <w:lang w:val="bg-BG"/>
        </w:rPr>
      </w:pPr>
      <w:r>
        <w:rPr>
          <w:rFonts w:ascii="Times New Roman" w:hAnsi="Times New Roman" w:cs="Times New Roman"/>
          <w:b/>
          <w:iCs/>
          <w:sz w:val="24"/>
          <w:szCs w:val="24"/>
          <w:lang w:val="bg-BG"/>
        </w:rPr>
        <w:t>12.2. Финансиране на дейностите от бюджета на общината, по други механизми и програми</w:t>
      </w:r>
      <w:r>
        <w:rPr>
          <w:rFonts w:ascii="Times New Roman" w:hAnsi="Times New Roman" w:cs="Times New Roman"/>
          <w:iCs/>
          <w:sz w:val="24"/>
          <w:szCs w:val="24"/>
          <w:lang w:val="bg-BG"/>
        </w:rPr>
        <w:t>:</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Финансиране по Дейност 11.4. </w:t>
      </w:r>
      <w:r>
        <w:rPr>
          <w:rFonts w:ascii="Times New Roman" w:hAnsi="Times New Roman" w:cs="Times New Roman"/>
          <w:i/>
          <w:iCs/>
          <w:sz w:val="24"/>
          <w:szCs w:val="24"/>
          <w:lang w:val="bg-BG"/>
        </w:rPr>
        <w:t>Дейности за психолого-педагогическо и социално-комуникативно приобщаване на всички родители за изграждане на образователна и обществена среда, осигуряваща ефективен процес на десегрегация и превенция за недопускане на вторична сегрегация</w:t>
      </w:r>
      <w:r>
        <w:rPr>
          <w:rFonts w:ascii="Times New Roman" w:hAnsi="Times New Roman" w:cs="Times New Roman"/>
          <w:iCs/>
          <w:sz w:val="24"/>
          <w:szCs w:val="24"/>
          <w:lang w:val="bg-BG"/>
        </w:rPr>
        <w:t xml:space="preserve"> – дейностите се финансират от бюджета на общината, като остойностяването им се признава за съфинансиране.</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Кандидатът може да финансира за собствена сметка всички дейности по програмата, като </w:t>
      </w:r>
      <w:r>
        <w:rPr>
          <w:rFonts w:ascii="Times New Roman" w:hAnsi="Times New Roman" w:cs="Times New Roman"/>
          <w:b/>
          <w:iCs/>
          <w:sz w:val="24"/>
          <w:szCs w:val="24"/>
          <w:lang w:val="bg-BG"/>
        </w:rPr>
        <w:t>дейности 11.3.2., 11.4. и 11.5.</w:t>
      </w:r>
      <w:r>
        <w:rPr>
          <w:rFonts w:ascii="Times New Roman" w:hAnsi="Times New Roman" w:cs="Times New Roman"/>
          <w:iCs/>
          <w:sz w:val="24"/>
          <w:szCs w:val="24"/>
          <w:lang w:val="bg-BG"/>
        </w:rPr>
        <w:t xml:space="preserve"> задължително трябва да бъдат планирани и включени за изпълнение в проектното предложение, </w:t>
      </w:r>
      <w:r>
        <w:rPr>
          <w:rFonts w:ascii="Times New Roman" w:hAnsi="Times New Roman" w:cs="Times New Roman"/>
          <w:b/>
          <w:iCs/>
          <w:sz w:val="24"/>
          <w:szCs w:val="24"/>
          <w:lang w:val="bg-BG"/>
        </w:rPr>
        <w:t>но те</w:t>
      </w:r>
      <w:r>
        <w:rPr>
          <w:rFonts w:ascii="Times New Roman" w:hAnsi="Times New Roman" w:cs="Times New Roman"/>
          <w:iCs/>
          <w:sz w:val="24"/>
          <w:szCs w:val="24"/>
          <w:lang w:val="bg-BG"/>
        </w:rPr>
        <w:t xml:space="preserve"> </w:t>
      </w:r>
      <w:r>
        <w:rPr>
          <w:rFonts w:ascii="Times New Roman" w:hAnsi="Times New Roman" w:cs="Times New Roman"/>
          <w:b/>
          <w:iCs/>
          <w:sz w:val="24"/>
          <w:szCs w:val="24"/>
          <w:lang w:val="bg-BG"/>
        </w:rPr>
        <w:t>не се финансират от програмата</w:t>
      </w:r>
      <w:r>
        <w:rPr>
          <w:rFonts w:ascii="Times New Roman" w:hAnsi="Times New Roman" w:cs="Times New Roman"/>
          <w:iCs/>
          <w:sz w:val="24"/>
          <w:szCs w:val="24"/>
          <w:lang w:val="bg-BG"/>
        </w:rPr>
        <w:t>.</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Ако има осигурено финансиране на дейности 11.3.2., 11.4. и 11.5. от други механизми и/или други програми/проекти, остойностяването им не се признава за съфинансиране от кандидата. При изпълнение на други подкрепящи дейности по програмата от кандидата необходимо е той да посочи и опише дейностите и съответните им стойности, като изпълнението им се счита за съфинансиране.</w:t>
      </w:r>
    </w:p>
    <w:p>
      <w:pPr>
        <w:spacing w:after="0" w:line="360" w:lineRule="auto"/>
        <w:jc w:val="both"/>
        <w:rPr>
          <w:rFonts w:ascii="Times New Roman" w:hAnsi="Times New Roman" w:cs="Times New Roman"/>
          <w:iCs/>
          <w:sz w:val="24"/>
          <w:szCs w:val="24"/>
          <w:lang w:val="bg-BG"/>
        </w:rPr>
      </w:pPr>
    </w:p>
    <w:p>
      <w:pPr>
        <w:pStyle w:val="17"/>
        <w:numPr>
          <w:ilvl w:val="1"/>
          <w:numId w:val="1"/>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 </w:t>
      </w:r>
      <w:r>
        <w:rPr>
          <w:rFonts w:ascii="Times New Roman" w:hAnsi="Times New Roman" w:cs="Times New Roman"/>
          <w:b/>
          <w:iCs/>
          <w:sz w:val="24"/>
          <w:szCs w:val="24"/>
          <w:lang w:val="bg-BG"/>
        </w:rPr>
        <w:t>Общи правила</w:t>
      </w:r>
      <w:r>
        <w:rPr>
          <w:rFonts w:ascii="Times New Roman" w:hAnsi="Times New Roman" w:cs="Times New Roman"/>
          <w:iCs/>
          <w:sz w:val="24"/>
          <w:szCs w:val="24"/>
          <w:lang w:val="bg-BG"/>
        </w:rPr>
        <w:t>:</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След издадената от министъра на образованието и науката заповед за класираните за финансиране проектни предложения ЦОИДУЕМ сключва договори с бенефициентите и им предоставя одобрените средства по следния ред:</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- 80% авансово;</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 до 20% след приемане и одобряване на краен технически и финансов отчет.</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Предоставените финансови средства по програмата могат да се разходват до края на втория учебен срок на учебната 2024/2025 година. В процеса на изпълнение на проектите се допуска прехвърлянето на средства между одобрени за финансиране от програмата дейности след писмено разрешение от ЦОИДУЕМ.</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Допуска се окончателно финансиране на проекти, класирани за учебната 2023/2024 година след одобряване на краен технически и финансов отчет.</w:t>
      </w:r>
    </w:p>
    <w:p>
      <w:pPr>
        <w:pStyle w:val="17"/>
        <w:spacing w:after="0" w:line="360" w:lineRule="auto"/>
        <w:ind w:left="0"/>
        <w:jc w:val="both"/>
        <w:rPr>
          <w:rFonts w:ascii="Times New Roman" w:hAnsi="Times New Roman" w:cs="Times New Roman"/>
          <w:iCs/>
          <w:sz w:val="24"/>
          <w:szCs w:val="24"/>
          <w:lang w:val="bg-BG"/>
        </w:rPr>
      </w:pPr>
    </w:p>
    <w:p>
      <w:pPr>
        <w:pStyle w:val="17"/>
        <w:numPr>
          <w:ilvl w:val="0"/>
          <w:numId w:val="1"/>
        </w:numPr>
        <w:rPr>
          <w:rFonts w:ascii="Times New Roman" w:hAnsi="Times New Roman" w:cs="Times New Roman"/>
          <w:b/>
          <w:bCs/>
          <w:sz w:val="24"/>
          <w:szCs w:val="24"/>
          <w:lang w:val="bg-BG"/>
        </w:rPr>
      </w:pPr>
      <w:r>
        <w:rPr>
          <w:rFonts w:ascii="Times New Roman" w:hAnsi="Times New Roman" w:cs="Times New Roman"/>
          <w:b/>
          <w:bCs/>
          <w:sz w:val="24"/>
          <w:szCs w:val="24"/>
          <w:lang w:val="bg-BG"/>
        </w:rPr>
        <w:t>УСЛОВИЯ И РЕД ЗА КАНДИДАТСТВАНЕ</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Финансирането на общините се осъществява на принципа на конкурентен подбор. След стартиране на програмата общините, отговарящи на условията за допустимост, могат да кандидатстват с проектно предложение по утвърден образец на формуляр и приложен бюджет с разчет на дейностите, който ще бъде публикуван на сайта на ЦОИДУЕМ и на сайта на МОН. В проектното предложение задължително се конкретизира избраният начин за реализиране на безплатен превоз за децата в задължително предучилищно образование и за учениците, който се остойностява в бюджета.</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Към проектните предложения общините е необходимо да приложат:</w:t>
      </w:r>
    </w:p>
    <w:p>
      <w:pPr>
        <w:pStyle w:val="17"/>
        <w:numPr>
          <w:ilvl w:val="0"/>
          <w:numId w:val="10"/>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Актуален приет и утвърден от общинския съвет програмен документ (план, програма) за осъществяване на процес на образователна десегрегация и превенция за недопускане на вторична сегрегация, както и решение за приемането му;</w:t>
      </w:r>
    </w:p>
    <w:p>
      <w:pPr>
        <w:pStyle w:val="17"/>
        <w:numPr>
          <w:ilvl w:val="0"/>
          <w:numId w:val="10"/>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Приложена транспортна схема за реализиране на процеса на образователна десегрегация на територията на общината (съответното населено място, определено за общински център), в която задължително се посочват: брой на децата в задължително предучилищно образование и на учениците, включени в процеса на десегрегация (списък); наименование на изпращащите образователни институции, които към момента на кандидатстване децата и учениците посещават, както и наименование на приемните образователни институции, към които са насочени децата и учениците. В транспортната схема могат да бъдат включени и средищни училища като приемни институции;</w:t>
      </w:r>
    </w:p>
    <w:p>
      <w:pPr>
        <w:pStyle w:val="17"/>
        <w:numPr>
          <w:ilvl w:val="0"/>
          <w:numId w:val="10"/>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Споразумения (подписани и подпечатани) между общините и приемните образователни институции, в които се вписват задълженията и отговорностите на страните, както и последващи мерки за устойчивост на процеса на образователна десегрегация и превенция за недопускане на вторична сегрегация;</w:t>
      </w:r>
    </w:p>
    <w:p>
      <w:pPr>
        <w:pStyle w:val="17"/>
        <w:numPr>
          <w:ilvl w:val="0"/>
          <w:numId w:val="10"/>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Декларация по образец;</w:t>
      </w:r>
    </w:p>
    <w:p>
      <w:pPr>
        <w:pStyle w:val="17"/>
        <w:numPr>
          <w:ilvl w:val="0"/>
          <w:numId w:val="10"/>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Други съпътстващи документи;</w:t>
      </w:r>
    </w:p>
    <w:p>
      <w:pPr>
        <w:pStyle w:val="17"/>
        <w:numPr>
          <w:ilvl w:val="0"/>
          <w:numId w:val="10"/>
        </w:numPr>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В срок до 15.07.2024 г. вкл. общините изпращат до адреса на ЦОИДУЕМ целия комплект от необходими документи в 1 (един) екземпляр на хартиен носител и 1 (един) екземпляр на електронен носител (диск или флаш памет) – по пощата, с куриер или се внася на ръка. За проектни предложения, изпратени по поща или с куриерска фирма, важи датата на пощенското клеймо.</w:t>
      </w:r>
    </w:p>
    <w:p>
      <w:pPr>
        <w:spacing w:after="0" w:line="360" w:lineRule="auto"/>
        <w:jc w:val="both"/>
        <w:rPr>
          <w:rFonts w:ascii="Times New Roman" w:hAnsi="Times New Roman" w:cs="Times New Roman"/>
          <w:i/>
          <w:iCs/>
          <w:color w:val="2E75B6" w:themeColor="accent5" w:themeShade="BF"/>
          <w:sz w:val="24"/>
          <w:szCs w:val="24"/>
          <w:lang w:val="bg-BG"/>
        </w:rPr>
      </w:pPr>
    </w:p>
    <w:p>
      <w:pPr>
        <w:pStyle w:val="17"/>
        <w:numPr>
          <w:ilvl w:val="0"/>
          <w:numId w:val="1"/>
        </w:numPr>
        <w:tabs>
          <w:tab w:val="left" w:pos="360"/>
        </w:tabs>
        <w:spacing w:after="0" w:line="360" w:lineRule="auto"/>
        <w:ind w:left="0" w:firstLine="0"/>
        <w:jc w:val="both"/>
        <w:rPr>
          <w:rFonts w:ascii="Times New Roman" w:hAnsi="Times New Roman" w:cs="Times New Roman"/>
          <w:b/>
          <w:bCs/>
          <w:color w:val="2E75B6" w:themeColor="accent5" w:themeShade="BF"/>
          <w:sz w:val="24"/>
          <w:szCs w:val="24"/>
          <w:lang w:val="bg-BG"/>
        </w:rPr>
      </w:pPr>
      <w:r>
        <w:rPr>
          <w:rFonts w:ascii="Times New Roman" w:hAnsi="Times New Roman" w:cs="Times New Roman"/>
          <w:b/>
          <w:bCs/>
          <w:sz w:val="24"/>
          <w:szCs w:val="24"/>
          <w:lang w:val="bg-BG"/>
        </w:rPr>
        <w:t>ПРОЦЕДУРА ЗА РАЗГЛЕЖДАНЕ И ОДОБРЕНИЕ НА ПРОЕКТНИТЕ ПРЕДЛОЖЕНИЯ</w:t>
      </w:r>
    </w:p>
    <w:p>
      <w:pPr>
        <w:tabs>
          <w:tab w:val="left" w:pos="360"/>
        </w:tabs>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Постъпилите проектни предложения ще бъдат оценени от комисия, назначена със заповед на директора на ЦОИДУЕМ. Оценяването протича в два етапа:</w:t>
      </w:r>
    </w:p>
    <w:p>
      <w:pPr>
        <w:tabs>
          <w:tab w:val="left" w:pos="360"/>
        </w:tabs>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ab/>
      </w:r>
      <w:r>
        <w:rPr>
          <w:rFonts w:ascii="Times New Roman" w:hAnsi="Times New Roman" w:cs="Times New Roman"/>
          <w:iCs/>
          <w:sz w:val="24"/>
          <w:szCs w:val="24"/>
          <w:lang w:val="bg-BG"/>
        </w:rPr>
        <w:t>Етап 1. Оценка за административно съответствие.</w:t>
      </w:r>
    </w:p>
    <w:p>
      <w:pPr>
        <w:tabs>
          <w:tab w:val="left" w:pos="360"/>
        </w:tabs>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ab/>
      </w:r>
      <w:r>
        <w:rPr>
          <w:rFonts w:ascii="Times New Roman" w:hAnsi="Times New Roman" w:cs="Times New Roman"/>
          <w:iCs/>
          <w:sz w:val="24"/>
          <w:szCs w:val="24"/>
          <w:lang w:val="bg-BG"/>
        </w:rPr>
        <w:t>Етап 2. Оценка на качеството на проекта, която ще се извърши въз основа на изготвена оценителна карта със следните критерии при общ максимален брой 100 точки:</w:t>
      </w:r>
    </w:p>
    <w:p>
      <w:pPr>
        <w:pStyle w:val="17"/>
        <w:numPr>
          <w:ilvl w:val="0"/>
          <w:numId w:val="11"/>
        </w:numPr>
        <w:tabs>
          <w:tab w:val="left" w:pos="360"/>
        </w:tabs>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Съответствие на проектното предложение с целите на Националната програма (максимална оценка 10 точки);</w:t>
      </w:r>
    </w:p>
    <w:p>
      <w:pPr>
        <w:pStyle w:val="17"/>
        <w:numPr>
          <w:ilvl w:val="0"/>
          <w:numId w:val="11"/>
        </w:numPr>
        <w:tabs>
          <w:tab w:val="left" w:pos="360"/>
        </w:tabs>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Оценка на дейностите и резултатите (максимална оценка 40 точки)</w:t>
      </w:r>
      <w:r>
        <w:rPr>
          <w:rFonts w:hint="default" w:ascii="Times New Roman" w:hAnsi="Times New Roman" w:cs="Times New Roman"/>
          <w:iCs/>
          <w:sz w:val="24"/>
          <w:szCs w:val="24"/>
          <w:lang w:val="bg-BG"/>
        </w:rPr>
        <w:t>;</w:t>
      </w:r>
    </w:p>
    <w:p>
      <w:pPr>
        <w:pStyle w:val="17"/>
        <w:numPr>
          <w:ilvl w:val="0"/>
          <w:numId w:val="11"/>
        </w:numPr>
        <w:tabs>
          <w:tab w:val="left" w:pos="360"/>
        </w:tabs>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Оценка на ефективност на разходите (максимална оценка 40 точки)</w:t>
      </w:r>
      <w:r>
        <w:rPr>
          <w:rFonts w:hint="default" w:ascii="Times New Roman" w:hAnsi="Times New Roman" w:cs="Times New Roman"/>
          <w:iCs/>
          <w:sz w:val="24"/>
          <w:szCs w:val="24"/>
          <w:lang w:val="bg-BG"/>
        </w:rPr>
        <w:t>;</w:t>
      </w:r>
    </w:p>
    <w:p>
      <w:pPr>
        <w:pStyle w:val="17"/>
        <w:numPr>
          <w:ilvl w:val="0"/>
          <w:numId w:val="11"/>
        </w:numPr>
        <w:tabs>
          <w:tab w:val="left" w:pos="360"/>
        </w:tabs>
        <w:spacing w:after="0"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Популяризиране на резултатите и устойчивост (максимална оценка 10 точки</w:t>
      </w:r>
      <w:r>
        <w:rPr>
          <w:rFonts w:hint="default" w:ascii="Times New Roman" w:hAnsi="Times New Roman" w:cs="Times New Roman"/>
          <w:iCs/>
          <w:sz w:val="24"/>
          <w:szCs w:val="24"/>
          <w:lang w:val="bg-BG"/>
        </w:rPr>
        <w:t>).</w:t>
      </w:r>
    </w:p>
    <w:p>
      <w:pPr>
        <w:tabs>
          <w:tab w:val="left" w:pos="360"/>
        </w:tabs>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Класирането на проектните предложения се извършва по низходящ ред според получената оценка. Одобряват се за финансиране класираните проектни предложения до изчерпване на обявения общ бюджет за програмата. След приключване на оценката на проектните предложения, комисията предлага на директора на ЦОИДУЕМ за одобрение списък с класирането на кандидатите (включващ одобрени за финансиране до изчерпване на обявения общ бюджет за програмата, резерви и неодобрени за финансиране). Проектните предложения, определени като резерва, поради изчерпване на обявения общ бюджет за програмата ще бъдат финансирани, в случай че кандидат от списъка на одобрените се откаже от правото си на финансиране.</w:t>
      </w:r>
    </w:p>
    <w:p>
      <w:pPr>
        <w:tabs>
          <w:tab w:val="left" w:pos="360"/>
        </w:tabs>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В срок до 26.07.2024 г. директорът на ЦОИДУЕМ предоставя на министъра на образованието и науката за одобрение списъка с класираните за финансиране кандидати. Министърът на образованието и науката издава заповед за финансиране на проектните предложения, която се публикува на сайта на МОН и ЦОИДУЕМ.</w:t>
      </w:r>
    </w:p>
    <w:p>
      <w:pPr>
        <w:pStyle w:val="17"/>
        <w:tabs>
          <w:tab w:val="left" w:pos="360"/>
        </w:tabs>
        <w:spacing w:after="0" w:line="360" w:lineRule="auto"/>
        <w:ind w:left="0"/>
        <w:jc w:val="both"/>
        <w:rPr>
          <w:rFonts w:ascii="Times New Roman" w:hAnsi="Times New Roman" w:cs="Times New Roman"/>
          <w:i/>
          <w:iCs/>
          <w:color w:val="2E75B6" w:themeColor="accent5" w:themeShade="BF"/>
          <w:sz w:val="24"/>
          <w:szCs w:val="24"/>
          <w:lang w:val="bg-BG"/>
        </w:rPr>
      </w:pPr>
    </w:p>
    <w:p>
      <w:pPr>
        <w:pStyle w:val="17"/>
        <w:numPr>
          <w:ilvl w:val="0"/>
          <w:numId w:val="1"/>
        </w:numPr>
        <w:tabs>
          <w:tab w:val="left" w:pos="360"/>
        </w:tabs>
        <w:spacing w:after="0" w:line="360" w:lineRule="auto"/>
        <w:ind w:left="0" w:firstLine="0"/>
        <w:jc w:val="both"/>
        <w:rPr>
          <w:rFonts w:ascii="Times New Roman" w:hAnsi="Times New Roman" w:cs="Times New Roman"/>
          <w:b/>
          <w:bCs/>
          <w:color w:val="2E75B6" w:themeColor="accent5" w:themeShade="BF"/>
          <w:sz w:val="24"/>
          <w:szCs w:val="24"/>
          <w:lang w:val="bg-BG"/>
        </w:rPr>
      </w:pPr>
      <w:r>
        <w:rPr>
          <w:rFonts w:ascii="Times New Roman" w:hAnsi="Times New Roman" w:cs="Times New Roman"/>
          <w:b/>
          <w:bCs/>
          <w:sz w:val="24"/>
          <w:szCs w:val="24"/>
          <w:lang w:val="bg-BG"/>
        </w:rPr>
        <w:t>ОТЧИТАНЕ НА ПРОЕКТИТЕ</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В срок до 31.07.2025 г. бенефициентът представя на хартиен и електронен носител краен технически и финансов отчет (по образец) и съответните съпътстващи документи за реализация на дейностите по одобреното проектно предложение: заповеди, договори, споразумения, протоколи, декларации, автобиографии, отчети, доклади, ведомости, платежни нареждания, сметки за изплатени суми, фактури, списъци, снимки и др.</w:t>
      </w:r>
    </w:p>
    <w:p>
      <w:pPr>
        <w:spacing w:after="0" w:line="360" w:lineRule="auto"/>
        <w:ind w:firstLine="720"/>
        <w:jc w:val="both"/>
        <w:rPr>
          <w:rFonts w:ascii="Times New Roman" w:hAnsi="Times New Roman" w:cs="Times New Roman"/>
          <w:iCs/>
          <w:sz w:val="24"/>
          <w:szCs w:val="24"/>
          <w:lang w:val="bg-BG"/>
        </w:rPr>
      </w:pPr>
      <w:r>
        <w:rPr>
          <w:rFonts w:ascii="Times New Roman" w:hAnsi="Times New Roman" w:cs="Times New Roman"/>
          <w:iCs/>
          <w:sz w:val="24"/>
          <w:szCs w:val="24"/>
          <w:lang w:val="bg-BG"/>
        </w:rPr>
        <w:t>Окончателните отчети се одобряват в срок до 31.08.2025 г.</w:t>
      </w:r>
      <w:bookmarkStart w:id="0" w:name="_GoBack"/>
      <w:bookmarkEnd w:id="0"/>
    </w:p>
    <w:sectPr>
      <w:footerReference r:id="rId5" w:type="default"/>
      <w:pgSz w:w="12240" w:h="15840"/>
      <w:pgMar w:top="791" w:right="1417" w:bottom="540" w:left="1417" w:header="360" w:footer="123"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991243"/>
      <w:docPartObj>
        <w:docPartGallery w:val="AutoText"/>
      </w:docPartObj>
    </w:sdtPr>
    <w:sdtContent>
      <w:p>
        <w:pPr>
          <w:pStyle w:val="8"/>
          <w:jc w:val="right"/>
        </w:pPr>
        <w:r>
          <w:fldChar w:fldCharType="begin"/>
        </w:r>
        <w:r>
          <w:instrText xml:space="preserve"> PAGE   \* MERGEFORMAT </w:instrText>
        </w:r>
        <w:r>
          <w:fldChar w:fldCharType="separate"/>
        </w:r>
        <w:r>
          <w:t>2</w:t>
        </w:r>
        <w:r>
          <w:fldChar w:fldCharType="end"/>
        </w:r>
      </w:p>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pPr>
        <w:spacing w:before="0" w:after="0" w:line="259" w:lineRule="auto"/>
      </w:pPr>
      <w:r>
        <w:separator/>
      </w:r>
    </w:p>
  </w:footnote>
  <w:footnote w:type="continuationSeparator" w:id="7">
    <w:p>
      <w:pPr>
        <w:spacing w:before="0" w:after="0" w:line="259" w:lineRule="auto"/>
      </w:pPr>
      <w:r>
        <w:continuationSeparator/>
      </w:r>
    </w:p>
  </w:footnote>
  <w:footnote w:id="0">
    <w:p>
      <w:pPr>
        <w:pStyle w:val="10"/>
        <w:jc w:val="both"/>
        <w:rPr>
          <w:lang w:val="bg-BG"/>
        </w:rPr>
      </w:pPr>
      <w:r>
        <w:rPr>
          <w:rStyle w:val="9"/>
        </w:rPr>
        <w:footnoteRef/>
      </w:r>
      <w:r>
        <w:t xml:space="preserve"> </w:t>
      </w:r>
      <w:r>
        <w:rPr>
          <w:rFonts w:ascii="Times New Roman" w:hAnsi="Times New Roman" w:cs="Times New Roman"/>
          <w:lang w:val="bg-BG"/>
        </w:rPr>
        <w:t>Приемни образователни институции – образователни институции (училища и детски градини със задължително предучилищно образование), в които се обучават преобладаващ брой деца и ученици, които не са от етнически малцинства.</w:t>
      </w:r>
    </w:p>
  </w:footnote>
  <w:footnote w:id="1">
    <w:p>
      <w:pPr>
        <w:pStyle w:val="10"/>
        <w:jc w:val="both"/>
        <w:rPr>
          <w:lang w:val="bg-BG"/>
        </w:rPr>
      </w:pPr>
      <w:r>
        <w:rPr>
          <w:rStyle w:val="9"/>
        </w:rPr>
        <w:footnoteRef/>
      </w:r>
      <w:r>
        <w:t xml:space="preserve"> </w:t>
      </w:r>
      <w:r>
        <w:rPr>
          <w:rFonts w:ascii="Times New Roman" w:hAnsi="Times New Roman" w:cs="Times New Roman"/>
          <w:lang w:val="bg-BG"/>
        </w:rPr>
        <w:t>Изпращащи образователни институции - образователни институции (училища и детски градини със задължително предучилищно образование), в които се обучават преобладаващ брой деца и ученици от етнически малцинства.</w:t>
      </w:r>
    </w:p>
  </w:footnote>
  <w:footnote w:id="2">
    <w:p>
      <w:pPr>
        <w:pStyle w:val="10"/>
        <w:jc w:val="both"/>
        <w:rPr>
          <w:rFonts w:ascii="Times New Roman" w:hAnsi="Times New Roman" w:cs="Times New Roman"/>
          <w:lang w:val="bg-BG"/>
        </w:rPr>
      </w:pPr>
      <w:r>
        <w:rPr>
          <w:rStyle w:val="9"/>
        </w:rPr>
        <w:footnoteRef/>
      </w:r>
      <w:r>
        <w:t xml:space="preserve"> </w:t>
      </w:r>
      <w:r>
        <w:rPr>
          <w:rFonts w:ascii="Times New Roman" w:hAnsi="Times New Roman" w:cs="Times New Roman"/>
          <w:lang w:val="bg-BG"/>
        </w:rPr>
        <w:t>Непедагогическият персонал се назначава към общините. Дейността им е фокусирана в определените като приемни образователни институции.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EB408F"/>
    <w:multiLevelType w:val="multilevel"/>
    <w:tmpl w:val="17EB408F"/>
    <w:lvl w:ilvl="0" w:tentative="0">
      <w:start w:val="1"/>
      <w:numFmt w:val="bullet"/>
      <w:lvlText w:val="-"/>
      <w:lvlJc w:val="left"/>
      <w:pPr>
        <w:ind w:left="720" w:hanging="360"/>
      </w:pPr>
      <w:rPr>
        <w:rFonts w:hint="default" w:ascii="Times New Roman" w:hAnsi="Times New Roman" w:eastAsia="Calibri" w:cs="Times New Roman"/>
        <w:color w:val="000000"/>
        <w:sz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AE154B7"/>
    <w:multiLevelType w:val="multilevel"/>
    <w:tmpl w:val="1AE154B7"/>
    <w:lvl w:ilvl="0" w:tentative="0">
      <w:start w:val="1"/>
      <w:numFmt w:val="decimal"/>
      <w:lvlText w:val="%1."/>
      <w:lvlJc w:val="left"/>
      <w:pPr>
        <w:ind w:left="360" w:hanging="360"/>
      </w:pPr>
      <w:rPr>
        <w:rFonts w:hint="default"/>
        <w:b/>
        <w:bCs/>
        <w:i w:val="0"/>
        <w:iCs w:val="0"/>
        <w:color w:val="auto"/>
      </w:rPr>
    </w:lvl>
    <w:lvl w:ilvl="1" w:tentative="0">
      <w:start w:val="3"/>
      <w:numFmt w:val="decimal"/>
      <w:isLgl/>
      <w:lvlText w:val="%1.%2."/>
      <w:lvlJc w:val="left"/>
      <w:pPr>
        <w:ind w:left="480" w:hanging="480"/>
      </w:pPr>
      <w:rPr>
        <w:rFonts w:hint="default"/>
        <w:b/>
        <w:color w:val="auto"/>
      </w:rPr>
    </w:lvl>
    <w:lvl w:ilvl="2" w:tentative="0">
      <w:start w:val="1"/>
      <w:numFmt w:val="decimal"/>
      <w:isLgl/>
      <w:lvlText w:val="%1.%2.%3."/>
      <w:lvlJc w:val="left"/>
      <w:pPr>
        <w:ind w:left="720" w:hanging="720"/>
      </w:pPr>
      <w:rPr>
        <w:rFonts w:hint="default"/>
        <w:b/>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2">
    <w:nsid w:val="1C220461"/>
    <w:multiLevelType w:val="multilevel"/>
    <w:tmpl w:val="1C220461"/>
    <w:lvl w:ilvl="0" w:tentative="0">
      <w:start w:val="1"/>
      <w:numFmt w:val="bullet"/>
      <w:lvlText w:val="-"/>
      <w:lvlJc w:val="left"/>
      <w:pPr>
        <w:ind w:left="720" w:hanging="360"/>
      </w:pPr>
      <w:rPr>
        <w:rFonts w:hint="default" w:ascii="Times New Roman" w:hAnsi="Times New Roman" w:eastAsia="Calibri" w:cs="Times New Roman"/>
        <w:color w:val="000000"/>
        <w:sz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A04297"/>
    <w:multiLevelType w:val="multilevel"/>
    <w:tmpl w:val="20A04297"/>
    <w:lvl w:ilvl="0" w:tentative="0">
      <w:start w:val="1"/>
      <w:numFmt w:val="bullet"/>
      <w:lvlText w:val="-"/>
      <w:lvlJc w:val="left"/>
      <w:pPr>
        <w:ind w:left="720" w:hanging="360"/>
      </w:pPr>
      <w:rPr>
        <w:rFonts w:hint="default" w:ascii="Times New Roman" w:hAnsi="Times New Roman" w:eastAsia="Calibri" w:cs="Times New Roman"/>
        <w:color w:val="000000"/>
        <w:sz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B6D33F5"/>
    <w:multiLevelType w:val="multilevel"/>
    <w:tmpl w:val="2B6D33F5"/>
    <w:lvl w:ilvl="0" w:tentative="0">
      <w:start w:val="1"/>
      <w:numFmt w:val="bullet"/>
      <w:lvlText w:val="-"/>
      <w:lvlJc w:val="left"/>
      <w:pPr>
        <w:ind w:left="720" w:hanging="360"/>
      </w:pPr>
      <w:rPr>
        <w:rFonts w:hint="default" w:ascii="Times New Roman" w:hAnsi="Times New Roman" w:eastAsia="Calibri" w:cs="Times New Roman"/>
        <w:color w:val="000000"/>
        <w:sz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30C789C"/>
    <w:multiLevelType w:val="multilevel"/>
    <w:tmpl w:val="430C789C"/>
    <w:lvl w:ilvl="0" w:tentative="0">
      <w:start w:val="1"/>
      <w:numFmt w:val="bullet"/>
      <w:lvlText w:val="-"/>
      <w:lvlJc w:val="left"/>
      <w:pPr>
        <w:ind w:left="720" w:hanging="360"/>
      </w:pPr>
      <w:rPr>
        <w:rFonts w:hint="default" w:ascii="Times New Roman" w:hAnsi="Times New Roman" w:eastAsia="Calibri" w:cs="Times New Roman"/>
        <w:color w:val="000000"/>
        <w:sz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2486190"/>
    <w:multiLevelType w:val="multilevel"/>
    <w:tmpl w:val="52486190"/>
    <w:lvl w:ilvl="0" w:tentative="0">
      <w:start w:val="1"/>
      <w:numFmt w:val="bullet"/>
      <w:lvlText w:val="-"/>
      <w:lvlJc w:val="left"/>
      <w:pPr>
        <w:ind w:left="720" w:hanging="360"/>
      </w:pPr>
      <w:rPr>
        <w:rFonts w:hint="default" w:ascii="Times New Roman" w:hAnsi="Times New Roman" w:eastAsia="Calibri" w:cs="Times New Roman"/>
        <w:color w:val="000000"/>
        <w:sz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63F7179"/>
    <w:multiLevelType w:val="multilevel"/>
    <w:tmpl w:val="563F7179"/>
    <w:lvl w:ilvl="0" w:tentative="0">
      <w:start w:val="1"/>
      <w:numFmt w:val="bullet"/>
      <w:lvlText w:val="-"/>
      <w:lvlJc w:val="left"/>
      <w:pPr>
        <w:ind w:left="720" w:hanging="360"/>
      </w:pPr>
      <w:rPr>
        <w:rFonts w:hint="default" w:ascii="Times New Roman" w:hAnsi="Times New Roman" w:eastAsia="Calibri" w:cs="Times New Roman"/>
        <w:color w:val="000000"/>
        <w:sz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5763133"/>
    <w:multiLevelType w:val="multilevel"/>
    <w:tmpl w:val="65763133"/>
    <w:lvl w:ilvl="0" w:tentative="0">
      <w:start w:val="1"/>
      <w:numFmt w:val="bullet"/>
      <w:lvlText w:val="-"/>
      <w:lvlJc w:val="left"/>
      <w:pPr>
        <w:ind w:left="720" w:hanging="360"/>
      </w:pPr>
      <w:rPr>
        <w:rFonts w:hint="default" w:ascii="Times New Roman" w:hAnsi="Times New Roman" w:eastAsia="Calibri" w:cs="Times New Roman"/>
        <w:color w:val="000000"/>
        <w:sz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DE70B4A"/>
    <w:multiLevelType w:val="multilevel"/>
    <w:tmpl w:val="6DE70B4A"/>
    <w:lvl w:ilvl="0" w:tentative="0">
      <w:start w:val="1"/>
      <w:numFmt w:val="bullet"/>
      <w:lvlText w:val="-"/>
      <w:lvlJc w:val="left"/>
      <w:pPr>
        <w:ind w:left="720" w:hanging="360"/>
      </w:pPr>
      <w:rPr>
        <w:rFonts w:hint="default" w:ascii="Times New Roman" w:hAnsi="Times New Roman" w:eastAsia="Calibri" w:cs="Times New Roman"/>
        <w:color w:val="000000"/>
        <w:sz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9746D"/>
    <w:multiLevelType w:val="multilevel"/>
    <w:tmpl w:val="7919746D"/>
    <w:lvl w:ilvl="0" w:tentative="0">
      <w:start w:val="1"/>
      <w:numFmt w:val="bullet"/>
      <w:lvlText w:val="-"/>
      <w:lvlJc w:val="left"/>
      <w:pPr>
        <w:ind w:left="720" w:hanging="360"/>
      </w:pPr>
      <w:rPr>
        <w:rFonts w:hint="default" w:ascii="Times New Roman" w:hAnsi="Times New Roman" w:eastAsia="Calibri" w:cs="Times New Roman"/>
        <w:color w:val="000000"/>
        <w:sz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10"/>
  </w:num>
  <w:num w:numId="4">
    <w:abstractNumId w:val="0"/>
  </w:num>
  <w:num w:numId="5">
    <w:abstractNumId w:val="2"/>
  </w:num>
  <w:num w:numId="6">
    <w:abstractNumId w:val="9"/>
  </w:num>
  <w:num w:numId="7">
    <w:abstractNumId w:val="6"/>
  </w:num>
  <w:num w:numId="8">
    <w:abstractNumId w:val="8"/>
  </w:num>
  <w:num w:numId="9">
    <w:abstractNumId w:val="4"/>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footnotePr>
    <w:footnote w:id="6"/>
    <w:footnote w:id="7"/>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1E0"/>
    <w:rsid w:val="00007926"/>
    <w:rsid w:val="00011028"/>
    <w:rsid w:val="000135D7"/>
    <w:rsid w:val="00023BA0"/>
    <w:rsid w:val="000749EB"/>
    <w:rsid w:val="00082860"/>
    <w:rsid w:val="00086779"/>
    <w:rsid w:val="00093219"/>
    <w:rsid w:val="00093EE4"/>
    <w:rsid w:val="000B3611"/>
    <w:rsid w:val="000B44C4"/>
    <w:rsid w:val="000B552E"/>
    <w:rsid w:val="000D334D"/>
    <w:rsid w:val="000D45C1"/>
    <w:rsid w:val="000D5B38"/>
    <w:rsid w:val="000E0F82"/>
    <w:rsid w:val="000E14D0"/>
    <w:rsid w:val="000F75FC"/>
    <w:rsid w:val="00100A72"/>
    <w:rsid w:val="00113847"/>
    <w:rsid w:val="00142260"/>
    <w:rsid w:val="001471E0"/>
    <w:rsid w:val="00152D64"/>
    <w:rsid w:val="0018454A"/>
    <w:rsid w:val="001A1AA6"/>
    <w:rsid w:val="001A6C16"/>
    <w:rsid w:val="001C46A0"/>
    <w:rsid w:val="001C7D62"/>
    <w:rsid w:val="001D1969"/>
    <w:rsid w:val="00232FAF"/>
    <w:rsid w:val="00253CE9"/>
    <w:rsid w:val="00270314"/>
    <w:rsid w:val="0027213E"/>
    <w:rsid w:val="00275036"/>
    <w:rsid w:val="00291F36"/>
    <w:rsid w:val="002A321D"/>
    <w:rsid w:val="002A47FE"/>
    <w:rsid w:val="002D1BA5"/>
    <w:rsid w:val="002E6A74"/>
    <w:rsid w:val="002F300F"/>
    <w:rsid w:val="0030733A"/>
    <w:rsid w:val="00323EFB"/>
    <w:rsid w:val="0032679D"/>
    <w:rsid w:val="00364CDD"/>
    <w:rsid w:val="003728C4"/>
    <w:rsid w:val="00377351"/>
    <w:rsid w:val="00377A68"/>
    <w:rsid w:val="003864C4"/>
    <w:rsid w:val="003A404F"/>
    <w:rsid w:val="003C4972"/>
    <w:rsid w:val="003D7A9A"/>
    <w:rsid w:val="003E2F4B"/>
    <w:rsid w:val="003E7F28"/>
    <w:rsid w:val="003F2D01"/>
    <w:rsid w:val="003F5D5E"/>
    <w:rsid w:val="0040679D"/>
    <w:rsid w:val="0041708A"/>
    <w:rsid w:val="00417E83"/>
    <w:rsid w:val="00427606"/>
    <w:rsid w:val="004354A7"/>
    <w:rsid w:val="00440A13"/>
    <w:rsid w:val="00444055"/>
    <w:rsid w:val="00470B89"/>
    <w:rsid w:val="004736CD"/>
    <w:rsid w:val="004777BB"/>
    <w:rsid w:val="0049064D"/>
    <w:rsid w:val="004909CF"/>
    <w:rsid w:val="00491B75"/>
    <w:rsid w:val="004A1D17"/>
    <w:rsid w:val="004A2703"/>
    <w:rsid w:val="004B006A"/>
    <w:rsid w:val="004C0AA0"/>
    <w:rsid w:val="004C21B0"/>
    <w:rsid w:val="004C3A99"/>
    <w:rsid w:val="004C5BA6"/>
    <w:rsid w:val="004D384D"/>
    <w:rsid w:val="004D52EE"/>
    <w:rsid w:val="005010D0"/>
    <w:rsid w:val="00520CA1"/>
    <w:rsid w:val="00523D34"/>
    <w:rsid w:val="00523DCF"/>
    <w:rsid w:val="0054568D"/>
    <w:rsid w:val="00550332"/>
    <w:rsid w:val="00563E70"/>
    <w:rsid w:val="00590729"/>
    <w:rsid w:val="00592838"/>
    <w:rsid w:val="005B6D30"/>
    <w:rsid w:val="005C75AC"/>
    <w:rsid w:val="005D553E"/>
    <w:rsid w:val="005D6F4E"/>
    <w:rsid w:val="005E70F2"/>
    <w:rsid w:val="005F45A8"/>
    <w:rsid w:val="005F6788"/>
    <w:rsid w:val="00601DBE"/>
    <w:rsid w:val="00611759"/>
    <w:rsid w:val="0061176E"/>
    <w:rsid w:val="00617DC9"/>
    <w:rsid w:val="00621567"/>
    <w:rsid w:val="00621DB3"/>
    <w:rsid w:val="0062499E"/>
    <w:rsid w:val="006273CC"/>
    <w:rsid w:val="0063033E"/>
    <w:rsid w:val="0063306D"/>
    <w:rsid w:val="00643146"/>
    <w:rsid w:val="0065245A"/>
    <w:rsid w:val="00654AE7"/>
    <w:rsid w:val="0066720B"/>
    <w:rsid w:val="0068187A"/>
    <w:rsid w:val="00696E38"/>
    <w:rsid w:val="006D189B"/>
    <w:rsid w:val="0072104A"/>
    <w:rsid w:val="0073341B"/>
    <w:rsid w:val="0073519C"/>
    <w:rsid w:val="00736534"/>
    <w:rsid w:val="00736BE6"/>
    <w:rsid w:val="00752AD5"/>
    <w:rsid w:val="00763A98"/>
    <w:rsid w:val="00765AC1"/>
    <w:rsid w:val="00765C58"/>
    <w:rsid w:val="00784402"/>
    <w:rsid w:val="00785EAC"/>
    <w:rsid w:val="00786237"/>
    <w:rsid w:val="007868E1"/>
    <w:rsid w:val="007A09F1"/>
    <w:rsid w:val="007A40C5"/>
    <w:rsid w:val="007B7040"/>
    <w:rsid w:val="007D156F"/>
    <w:rsid w:val="007D58C9"/>
    <w:rsid w:val="007F41A8"/>
    <w:rsid w:val="00800F8A"/>
    <w:rsid w:val="00803FFD"/>
    <w:rsid w:val="00813137"/>
    <w:rsid w:val="0083408C"/>
    <w:rsid w:val="00844847"/>
    <w:rsid w:val="00850941"/>
    <w:rsid w:val="00854192"/>
    <w:rsid w:val="00855C31"/>
    <w:rsid w:val="008949EC"/>
    <w:rsid w:val="00894D13"/>
    <w:rsid w:val="0089746F"/>
    <w:rsid w:val="008B4459"/>
    <w:rsid w:val="008B69E8"/>
    <w:rsid w:val="008C3CE4"/>
    <w:rsid w:val="008C42E5"/>
    <w:rsid w:val="008C50D0"/>
    <w:rsid w:val="008C5FEA"/>
    <w:rsid w:val="008E26DA"/>
    <w:rsid w:val="0090088D"/>
    <w:rsid w:val="00904CB1"/>
    <w:rsid w:val="00915CD2"/>
    <w:rsid w:val="00971419"/>
    <w:rsid w:val="009747C8"/>
    <w:rsid w:val="00974E38"/>
    <w:rsid w:val="0098183F"/>
    <w:rsid w:val="009B2785"/>
    <w:rsid w:val="009B7928"/>
    <w:rsid w:val="009D417C"/>
    <w:rsid w:val="009E7262"/>
    <w:rsid w:val="009F7FC1"/>
    <w:rsid w:val="00A20BA2"/>
    <w:rsid w:val="00A27A8C"/>
    <w:rsid w:val="00A308AA"/>
    <w:rsid w:val="00A3435F"/>
    <w:rsid w:val="00A423C3"/>
    <w:rsid w:val="00A46D58"/>
    <w:rsid w:val="00A517BF"/>
    <w:rsid w:val="00A5396E"/>
    <w:rsid w:val="00A64E91"/>
    <w:rsid w:val="00A752C2"/>
    <w:rsid w:val="00A764C2"/>
    <w:rsid w:val="00A7661D"/>
    <w:rsid w:val="00A770F8"/>
    <w:rsid w:val="00A77E66"/>
    <w:rsid w:val="00A80474"/>
    <w:rsid w:val="00AA16C8"/>
    <w:rsid w:val="00AB0BDA"/>
    <w:rsid w:val="00AC2588"/>
    <w:rsid w:val="00AD1990"/>
    <w:rsid w:val="00B22D11"/>
    <w:rsid w:val="00B261E3"/>
    <w:rsid w:val="00B625C8"/>
    <w:rsid w:val="00B65996"/>
    <w:rsid w:val="00B8067A"/>
    <w:rsid w:val="00B80B7C"/>
    <w:rsid w:val="00B94466"/>
    <w:rsid w:val="00BA30B0"/>
    <w:rsid w:val="00BA6AB1"/>
    <w:rsid w:val="00BC2D25"/>
    <w:rsid w:val="00BE759F"/>
    <w:rsid w:val="00BF49CC"/>
    <w:rsid w:val="00C03312"/>
    <w:rsid w:val="00C1702E"/>
    <w:rsid w:val="00C323D7"/>
    <w:rsid w:val="00C32B8E"/>
    <w:rsid w:val="00C41011"/>
    <w:rsid w:val="00C602DE"/>
    <w:rsid w:val="00C62266"/>
    <w:rsid w:val="00C72B70"/>
    <w:rsid w:val="00C74A34"/>
    <w:rsid w:val="00C9625D"/>
    <w:rsid w:val="00CA1D6F"/>
    <w:rsid w:val="00CC686F"/>
    <w:rsid w:val="00CD3EEA"/>
    <w:rsid w:val="00CD550A"/>
    <w:rsid w:val="00CF2F62"/>
    <w:rsid w:val="00D1453E"/>
    <w:rsid w:val="00D226A1"/>
    <w:rsid w:val="00D474B4"/>
    <w:rsid w:val="00D576D4"/>
    <w:rsid w:val="00D652E8"/>
    <w:rsid w:val="00D74FCE"/>
    <w:rsid w:val="00D8399F"/>
    <w:rsid w:val="00D95841"/>
    <w:rsid w:val="00DA3A9D"/>
    <w:rsid w:val="00DB5737"/>
    <w:rsid w:val="00DC07BF"/>
    <w:rsid w:val="00DC1D92"/>
    <w:rsid w:val="00DD7FE5"/>
    <w:rsid w:val="00DF2165"/>
    <w:rsid w:val="00DF5875"/>
    <w:rsid w:val="00E06FBE"/>
    <w:rsid w:val="00E15880"/>
    <w:rsid w:val="00E315D0"/>
    <w:rsid w:val="00E4217A"/>
    <w:rsid w:val="00E472BD"/>
    <w:rsid w:val="00E557C0"/>
    <w:rsid w:val="00E72AEC"/>
    <w:rsid w:val="00E95622"/>
    <w:rsid w:val="00E96A0A"/>
    <w:rsid w:val="00EA11F9"/>
    <w:rsid w:val="00EA17BD"/>
    <w:rsid w:val="00EA241D"/>
    <w:rsid w:val="00ED1D25"/>
    <w:rsid w:val="00ED3200"/>
    <w:rsid w:val="00F20C96"/>
    <w:rsid w:val="00F3309D"/>
    <w:rsid w:val="00F350E9"/>
    <w:rsid w:val="00F579CD"/>
    <w:rsid w:val="00F956A3"/>
    <w:rsid w:val="00FB44FA"/>
    <w:rsid w:val="00FC4CA2"/>
    <w:rsid w:val="00FE72D7"/>
    <w:rsid w:val="00FF1F9B"/>
    <w:rsid w:val="6E080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21"/>
    <w:semiHidden/>
    <w:unhideWhenUsed/>
    <w:qFormat/>
    <w:uiPriority w:val="99"/>
    <w:pPr>
      <w:spacing w:after="0" w:line="240" w:lineRule="auto"/>
    </w:pPr>
    <w:rPr>
      <w:rFonts w:ascii="Segoe UI" w:hAnsi="Segoe UI" w:cs="Segoe UI"/>
      <w:sz w:val="18"/>
      <w:szCs w:val="18"/>
    </w:rPr>
  </w:style>
  <w:style w:type="character" w:styleId="5">
    <w:name w:val="annotation reference"/>
    <w:basedOn w:val="2"/>
    <w:semiHidden/>
    <w:unhideWhenUsed/>
    <w:qFormat/>
    <w:uiPriority w:val="99"/>
    <w:rPr>
      <w:sz w:val="16"/>
      <w:szCs w:val="16"/>
    </w:rPr>
  </w:style>
  <w:style w:type="paragraph" w:styleId="6">
    <w:name w:val="annotation text"/>
    <w:basedOn w:val="1"/>
    <w:link w:val="19"/>
    <w:semiHidden/>
    <w:unhideWhenUsed/>
    <w:qFormat/>
    <w:uiPriority w:val="99"/>
    <w:pPr>
      <w:spacing w:line="240" w:lineRule="auto"/>
    </w:pPr>
    <w:rPr>
      <w:sz w:val="20"/>
      <w:szCs w:val="20"/>
    </w:rPr>
  </w:style>
  <w:style w:type="paragraph" w:styleId="7">
    <w:name w:val="annotation subject"/>
    <w:basedOn w:val="6"/>
    <w:next w:val="6"/>
    <w:link w:val="20"/>
    <w:semiHidden/>
    <w:unhideWhenUsed/>
    <w:qFormat/>
    <w:uiPriority w:val="99"/>
    <w:rPr>
      <w:b/>
      <w:bCs/>
    </w:rPr>
  </w:style>
  <w:style w:type="paragraph" w:styleId="8">
    <w:name w:val="footer"/>
    <w:basedOn w:val="1"/>
    <w:link w:val="14"/>
    <w:unhideWhenUsed/>
    <w:uiPriority w:val="99"/>
    <w:pPr>
      <w:tabs>
        <w:tab w:val="center" w:pos="4703"/>
        <w:tab w:val="right" w:pos="9406"/>
      </w:tabs>
      <w:spacing w:after="0" w:line="240" w:lineRule="auto"/>
    </w:pPr>
  </w:style>
  <w:style w:type="character" w:styleId="9">
    <w:name w:val="footnote reference"/>
    <w:basedOn w:val="2"/>
    <w:semiHidden/>
    <w:unhideWhenUsed/>
    <w:uiPriority w:val="99"/>
    <w:rPr>
      <w:vertAlign w:val="superscript"/>
    </w:rPr>
  </w:style>
  <w:style w:type="paragraph" w:styleId="10">
    <w:name w:val="footnote text"/>
    <w:basedOn w:val="1"/>
    <w:link w:val="18"/>
    <w:semiHidden/>
    <w:unhideWhenUsed/>
    <w:uiPriority w:val="99"/>
    <w:pPr>
      <w:spacing w:after="0" w:line="240" w:lineRule="auto"/>
    </w:pPr>
    <w:rPr>
      <w:sz w:val="20"/>
      <w:szCs w:val="20"/>
    </w:rPr>
  </w:style>
  <w:style w:type="paragraph" w:styleId="11">
    <w:name w:val="header"/>
    <w:basedOn w:val="1"/>
    <w:link w:val="13"/>
    <w:unhideWhenUsed/>
    <w:uiPriority w:val="99"/>
    <w:pPr>
      <w:tabs>
        <w:tab w:val="center" w:pos="4703"/>
        <w:tab w:val="right" w:pos="9406"/>
      </w:tabs>
      <w:spacing w:after="0" w:line="240" w:lineRule="auto"/>
    </w:pPr>
  </w:style>
  <w:style w:type="table" w:styleId="12">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er Char"/>
    <w:basedOn w:val="2"/>
    <w:link w:val="11"/>
    <w:qFormat/>
    <w:uiPriority w:val="99"/>
  </w:style>
  <w:style w:type="character" w:customStyle="1" w:styleId="14">
    <w:name w:val="Footer Char"/>
    <w:basedOn w:val="2"/>
    <w:link w:val="8"/>
    <w:uiPriority w:val="99"/>
  </w:style>
  <w:style w:type="character" w:customStyle="1" w:styleId="15">
    <w:name w:val="Основен текст_"/>
    <w:basedOn w:val="2"/>
    <w:link w:val="16"/>
    <w:qFormat/>
    <w:uiPriority w:val="0"/>
    <w:rPr>
      <w:rFonts w:ascii="Times New Roman" w:hAnsi="Times New Roman" w:eastAsia="Times New Roman" w:cs="Times New Roman"/>
    </w:rPr>
  </w:style>
  <w:style w:type="paragraph" w:customStyle="1" w:styleId="16">
    <w:name w:val="Основен текст1"/>
    <w:basedOn w:val="1"/>
    <w:link w:val="15"/>
    <w:uiPriority w:val="0"/>
    <w:pPr>
      <w:widowControl w:val="0"/>
      <w:spacing w:after="100" w:line="240" w:lineRule="auto"/>
      <w:ind w:firstLine="400"/>
    </w:pPr>
    <w:rPr>
      <w:rFonts w:ascii="Times New Roman" w:hAnsi="Times New Roman" w:eastAsia="Times New Roman" w:cs="Times New Roman"/>
    </w:rPr>
  </w:style>
  <w:style w:type="paragraph" w:styleId="17">
    <w:name w:val="List Paragraph"/>
    <w:basedOn w:val="1"/>
    <w:qFormat/>
    <w:uiPriority w:val="34"/>
    <w:pPr>
      <w:ind w:left="720"/>
      <w:contextualSpacing/>
    </w:pPr>
  </w:style>
  <w:style w:type="character" w:customStyle="1" w:styleId="18">
    <w:name w:val="Footnote Text Char"/>
    <w:basedOn w:val="2"/>
    <w:link w:val="10"/>
    <w:semiHidden/>
    <w:uiPriority w:val="99"/>
    <w:rPr>
      <w:sz w:val="20"/>
      <w:szCs w:val="20"/>
    </w:rPr>
  </w:style>
  <w:style w:type="character" w:customStyle="1" w:styleId="19">
    <w:name w:val="Comment Text Char"/>
    <w:basedOn w:val="2"/>
    <w:link w:val="6"/>
    <w:semiHidden/>
    <w:qFormat/>
    <w:uiPriority w:val="99"/>
    <w:rPr>
      <w:sz w:val="20"/>
      <w:szCs w:val="20"/>
    </w:rPr>
  </w:style>
  <w:style w:type="character" w:customStyle="1" w:styleId="20">
    <w:name w:val="Comment Subject Char"/>
    <w:basedOn w:val="19"/>
    <w:link w:val="7"/>
    <w:semiHidden/>
    <w:qFormat/>
    <w:uiPriority w:val="99"/>
    <w:rPr>
      <w:b/>
      <w:bCs/>
      <w:sz w:val="20"/>
      <w:szCs w:val="20"/>
    </w:rPr>
  </w:style>
  <w:style w:type="character" w:customStyle="1" w:styleId="21">
    <w:name w:val="Balloon Text Char"/>
    <w:basedOn w:val="2"/>
    <w:link w:val="4"/>
    <w:semiHidden/>
    <w:qFormat/>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867FC-6E2F-4D35-B5ED-DFDF53443E5E}">
  <ds:schemaRefs/>
</ds:datastoreItem>
</file>

<file path=docProps/app.xml><?xml version="1.0" encoding="utf-8"?>
<Properties xmlns="http://schemas.openxmlformats.org/officeDocument/2006/extended-properties" xmlns:vt="http://schemas.openxmlformats.org/officeDocument/2006/docPropsVTypes">
  <Template>Normal</Template>
  <Pages>14</Pages>
  <Words>4118</Words>
  <Characters>23477</Characters>
  <Lines>195</Lines>
  <Paragraphs>55</Paragraphs>
  <TotalTime>37</TotalTime>
  <ScaleCrop>false</ScaleCrop>
  <LinksUpToDate>false</LinksUpToDate>
  <CharactersWithSpaces>27540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2024-02-08T12:48:00Z</dcterms:created>
  <dc:creator>Martina Kehayova</dc:creator>
  <cp:lastModifiedBy>User</cp:lastModifiedBy>
  <cp:lastPrinted>2024-01-18T11:06:00Z</cp:lastPrinted>
  <dcterms:modified xsi:type="dcterms:W3CDTF">2024-03-05T11:13:29Z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8CC8F7FB359940D783DD4BB829CC076D_13</vt:lpwstr>
  </property>
</Properties>
</file>